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254E6" w14:textId="77777777" w:rsidR="005A3C83" w:rsidRPr="005A3C83" w:rsidRDefault="005A3C83" w:rsidP="005A3C83">
      <w:pPr>
        <w:jc w:val="center"/>
        <w:rPr>
          <w:b/>
          <w:bCs/>
          <w:sz w:val="24"/>
          <w:szCs w:val="28"/>
        </w:rPr>
      </w:pPr>
      <w:r w:rsidRPr="005A3C83">
        <w:rPr>
          <w:rFonts w:hint="eastAsia"/>
          <w:b/>
          <w:bCs/>
          <w:sz w:val="24"/>
          <w:szCs w:val="28"/>
        </w:rPr>
        <w:t>国家卫生计生委办公厅关于“华西银腊梅（药王茶）”有关问题的复函</w:t>
      </w:r>
    </w:p>
    <w:p w14:paraId="6040E634" w14:textId="4B5FC0CA" w:rsidR="001C03A9" w:rsidRPr="005A3C83" w:rsidRDefault="005A3C83" w:rsidP="005A3C83">
      <w:pPr>
        <w:jc w:val="center"/>
        <w:rPr>
          <w:b/>
          <w:bCs/>
          <w:sz w:val="24"/>
          <w:szCs w:val="28"/>
        </w:rPr>
      </w:pPr>
      <w:r w:rsidRPr="005A3C83">
        <w:rPr>
          <w:b/>
          <w:bCs/>
          <w:sz w:val="24"/>
          <w:szCs w:val="28"/>
        </w:rPr>
        <w:t>(国卫办食品函〔2014〕1075号)</w:t>
      </w:r>
    </w:p>
    <w:p w14:paraId="74AAAB27" w14:textId="77777777" w:rsidR="005A3C83" w:rsidRDefault="005A3C83" w:rsidP="005A3C83">
      <w:pPr>
        <w:pStyle w:val="a7"/>
        <w:spacing w:before="0" w:beforeAutospacing="0" w:after="0" w:afterAutospacing="0" w:line="360" w:lineRule="atLeast"/>
        <w:rPr>
          <w:color w:val="4A4A4A"/>
        </w:rPr>
      </w:pPr>
    </w:p>
    <w:p w14:paraId="22533483" w14:textId="73CC0362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color w:val="4A4A4A"/>
        </w:rPr>
      </w:pPr>
      <w:r w:rsidRPr="005A3C83">
        <w:rPr>
          <w:rFonts w:hint="eastAsia"/>
          <w:color w:val="4A4A4A"/>
        </w:rPr>
        <w:t>陕西省卫生计生委：</w:t>
      </w:r>
    </w:p>
    <w:p w14:paraId="6D124594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你委《关于将华西银腊梅（药王茶）列为普通食品管理的请示》（陕卫监督函〔2014〕273号）收悉。经研究, 现回复如下：</w:t>
      </w:r>
    </w:p>
    <w:p w14:paraId="71041D3F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</w:t>
      </w:r>
      <w:bookmarkStart w:id="0" w:name="_GoBack"/>
      <w:r w:rsidRPr="005A3C83">
        <w:rPr>
          <w:rFonts w:hint="eastAsia"/>
          <w:color w:val="4A4A4A"/>
        </w:rPr>
        <w:t xml:space="preserve">一、“华西银腊梅”是蔷薇科委陵菜属植物，规范名称应当为“白毛银露梅（Potentilla glabra </w:t>
      </w:r>
      <w:proofErr w:type="spellStart"/>
      <w:r w:rsidRPr="005A3C83">
        <w:rPr>
          <w:rFonts w:hint="eastAsia"/>
          <w:color w:val="4A4A4A"/>
        </w:rPr>
        <w:t>Lodd</w:t>
      </w:r>
      <w:proofErr w:type="spellEnd"/>
      <w:r w:rsidRPr="005A3C83">
        <w:rPr>
          <w:rFonts w:hint="eastAsia"/>
          <w:color w:val="4A4A4A"/>
        </w:rPr>
        <w:t xml:space="preserve">. var. </w:t>
      </w:r>
      <w:proofErr w:type="spellStart"/>
      <w:r w:rsidRPr="005A3C83">
        <w:rPr>
          <w:rFonts w:hint="eastAsia"/>
          <w:color w:val="4A4A4A"/>
        </w:rPr>
        <w:t>mandshurica</w:t>
      </w:r>
      <w:proofErr w:type="spellEnd"/>
      <w:r w:rsidRPr="005A3C83">
        <w:rPr>
          <w:rFonts w:hint="eastAsia"/>
          <w:color w:val="4A4A4A"/>
        </w:rPr>
        <w:t xml:space="preserve"> (Maxim.) Hand. -</w:t>
      </w:r>
      <w:proofErr w:type="spellStart"/>
      <w:r w:rsidRPr="005A3C83">
        <w:rPr>
          <w:rFonts w:hint="eastAsia"/>
          <w:color w:val="4A4A4A"/>
        </w:rPr>
        <w:t>Mazz</w:t>
      </w:r>
      <w:proofErr w:type="spellEnd"/>
      <w:r w:rsidRPr="005A3C83">
        <w:rPr>
          <w:rFonts w:hint="eastAsia"/>
          <w:color w:val="4A4A4A"/>
        </w:rPr>
        <w:t>）”。</w:t>
      </w:r>
    </w:p>
    <w:p w14:paraId="45E2FC0A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二、根据《食品安全法》和《新食品原料安全性审查管理办法》的规定，同意你委将白毛银露梅作为有传统食用习惯的普通食品管理的意见。</w:t>
      </w:r>
    </w:p>
    <w:p w14:paraId="2FEBD2BE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生产经营上述食品应当符合有关法律、法规和标准的规定，并按照规范名称进行标注。</w:t>
      </w:r>
      <w:bookmarkEnd w:id="0"/>
    </w:p>
    <w:p w14:paraId="050084F7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专此函复。</w:t>
      </w:r>
    </w:p>
    <w:p w14:paraId="7FF9A535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jc w:val="righ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国家卫生计生委办公厅</w:t>
      </w:r>
    </w:p>
    <w:p w14:paraId="2743EC46" w14:textId="77777777" w:rsidR="005A3C83" w:rsidRPr="005A3C83" w:rsidRDefault="005A3C83" w:rsidP="005A3C83">
      <w:pPr>
        <w:pStyle w:val="a7"/>
        <w:spacing w:before="0" w:beforeAutospacing="0" w:after="0" w:afterAutospacing="0" w:line="360" w:lineRule="atLeast"/>
        <w:jc w:val="right"/>
        <w:rPr>
          <w:rFonts w:hint="eastAsia"/>
          <w:color w:val="4A4A4A"/>
        </w:rPr>
      </w:pPr>
      <w:r w:rsidRPr="005A3C83">
        <w:rPr>
          <w:rFonts w:hint="eastAsia"/>
          <w:color w:val="4A4A4A"/>
        </w:rPr>
        <w:t xml:space="preserve">　　2014年11月19日</w:t>
      </w:r>
    </w:p>
    <w:p w14:paraId="3373D8EE" w14:textId="77777777" w:rsidR="005A3C83" w:rsidRPr="005A3C83" w:rsidRDefault="005A3C83">
      <w:pPr>
        <w:rPr>
          <w:sz w:val="32"/>
          <w:szCs w:val="36"/>
        </w:rPr>
      </w:pPr>
    </w:p>
    <w:sectPr w:rsidR="005A3C83" w:rsidRPr="005A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1530" w14:textId="77777777" w:rsidR="005E59EF" w:rsidRDefault="005E59EF" w:rsidP="005A3C83">
      <w:r>
        <w:separator/>
      </w:r>
    </w:p>
  </w:endnote>
  <w:endnote w:type="continuationSeparator" w:id="0">
    <w:p w14:paraId="56704EB1" w14:textId="77777777" w:rsidR="005E59EF" w:rsidRDefault="005E59EF" w:rsidP="005A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6365" w14:textId="77777777" w:rsidR="005E59EF" w:rsidRDefault="005E59EF" w:rsidP="005A3C83">
      <w:r>
        <w:separator/>
      </w:r>
    </w:p>
  </w:footnote>
  <w:footnote w:type="continuationSeparator" w:id="0">
    <w:p w14:paraId="2A14648F" w14:textId="77777777" w:rsidR="005E59EF" w:rsidRDefault="005E59EF" w:rsidP="005A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6C"/>
    <w:rsid w:val="001C03A9"/>
    <w:rsid w:val="005A3C83"/>
    <w:rsid w:val="005E59EF"/>
    <w:rsid w:val="00C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AC369"/>
  <w15:chartTrackingRefBased/>
  <w15:docId w15:val="{B3328DA8-253D-41E1-A8D7-EE0D548D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C8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A3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2019-07-18T06:19:00Z</dcterms:created>
  <dcterms:modified xsi:type="dcterms:W3CDTF">2019-07-18T06:21:00Z</dcterms:modified>
</cp:coreProperties>
</file>