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16B4" w14:textId="77777777" w:rsidR="00A903A6" w:rsidRPr="00A903A6" w:rsidRDefault="00A903A6" w:rsidP="00A903A6">
      <w:pPr>
        <w:widowControl/>
        <w:shd w:val="clear" w:color="auto" w:fill="FFFFFF"/>
        <w:wordWrap w:val="0"/>
        <w:spacing w:before="100" w:beforeAutospacing="1" w:after="100" w:afterAutospacing="1" w:line="750" w:lineRule="atLeast"/>
        <w:jc w:val="center"/>
        <w:outlineLvl w:val="0"/>
        <w:rPr>
          <w:rFonts w:ascii="黑体" w:eastAsia="黑体" w:hAnsi="黑体" w:cs="宋体"/>
          <w:color w:val="333333"/>
          <w:kern w:val="36"/>
          <w:sz w:val="30"/>
          <w:szCs w:val="30"/>
        </w:rPr>
      </w:pPr>
      <w:r w:rsidRPr="00A903A6">
        <w:rPr>
          <w:rFonts w:ascii="黑体" w:eastAsia="黑体" w:hAnsi="黑体" w:cs="宋体" w:hint="eastAsia"/>
          <w:color w:val="333333"/>
          <w:kern w:val="36"/>
          <w:sz w:val="30"/>
          <w:szCs w:val="30"/>
        </w:rPr>
        <w:t>中华人民共和国野生植物保护条例(国务院204号令)</w:t>
      </w:r>
    </w:p>
    <w:p w14:paraId="003C9AA6" w14:textId="4B008F3E" w:rsidR="00F64D7A" w:rsidRDefault="00A903A6">
      <w:pPr>
        <w:rPr>
          <w:rFonts w:ascii="微软雅黑" w:eastAsia="微软雅黑" w:hAnsi="微软雅黑"/>
          <w:color w:val="333333"/>
          <w:szCs w:val="21"/>
          <w:shd w:val="clear" w:color="auto" w:fill="F1F1F1"/>
        </w:rPr>
      </w:pPr>
      <w:r>
        <w:rPr>
          <w:rFonts w:ascii="微软雅黑" w:eastAsia="微软雅黑" w:hAnsi="微软雅黑" w:hint="eastAsia"/>
          <w:color w:val="333333"/>
          <w:szCs w:val="21"/>
          <w:shd w:val="clear" w:color="auto" w:fill="F1F1F1"/>
        </w:rPr>
        <w:t>核心提示：为了保护、发展和合理利用野生植物资源，保护生物多样性，维护生态平衡，国务院制定中华人民共和国野生植物保护条例。在中华人民共和国境内从事野生植物的保护、发展和利用活动，必须遵守中华人民共和国野生植物保护条例。中华人民共和国野生植物保护条例所保护的野生植物，是指原生地天然生长的珍贵植物和原生地天然生长并具有重要经济、科学研究、文化价值的濒危、稀有植物。</w:t>
      </w:r>
    </w:p>
    <w:tbl>
      <w:tblPr>
        <w:tblW w:w="5000" w:type="pct"/>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1058"/>
        <w:gridCol w:w="3406"/>
        <w:gridCol w:w="1043"/>
        <w:gridCol w:w="3084"/>
      </w:tblGrid>
      <w:tr w:rsidR="00A903A6" w:rsidRPr="00A903A6" w14:paraId="739DF59E" w14:textId="77777777" w:rsidTr="00A903A6">
        <w:trPr>
          <w:trHeight w:val="375"/>
          <w:tblCellSpacing w:w="15" w:type="dxa"/>
        </w:trPr>
        <w:tc>
          <w:tcPr>
            <w:tcW w:w="600" w:type="pct"/>
            <w:shd w:val="clear" w:color="auto" w:fill="F4F4F4"/>
            <w:tcMar>
              <w:top w:w="75" w:type="dxa"/>
              <w:left w:w="150" w:type="dxa"/>
              <w:bottom w:w="75" w:type="dxa"/>
              <w:right w:w="75" w:type="dxa"/>
            </w:tcMar>
            <w:vAlign w:val="center"/>
            <w:hideMark/>
          </w:tcPr>
          <w:p w14:paraId="7B9AFA87" w14:textId="77777777" w:rsidR="00A903A6" w:rsidRPr="00A903A6" w:rsidRDefault="00A903A6" w:rsidP="00A903A6">
            <w:pPr>
              <w:widowControl/>
              <w:wordWrap w:val="0"/>
              <w:spacing w:before="300" w:after="300" w:line="375" w:lineRule="atLeast"/>
              <w:jc w:val="left"/>
              <w:rPr>
                <w:rFonts w:ascii="微软雅黑" w:eastAsia="微软雅黑" w:hAnsi="微软雅黑" w:cs="宋体"/>
                <w:b/>
                <w:bCs/>
                <w:color w:val="000000"/>
                <w:kern w:val="0"/>
                <w:szCs w:val="21"/>
              </w:rPr>
            </w:pPr>
            <w:r w:rsidRPr="00A903A6">
              <w:rPr>
                <w:rFonts w:ascii="微软雅黑" w:eastAsia="微软雅黑" w:hAnsi="微软雅黑" w:cs="宋体" w:hint="eastAsia"/>
                <w:b/>
                <w:bCs/>
                <w:color w:val="000000"/>
                <w:kern w:val="0"/>
                <w:szCs w:val="21"/>
              </w:rPr>
              <w:t>发布单位</w:t>
            </w:r>
          </w:p>
        </w:tc>
        <w:tc>
          <w:tcPr>
            <w:tcW w:w="2000" w:type="pct"/>
            <w:shd w:val="clear" w:color="auto" w:fill="F4F4F4"/>
            <w:tcMar>
              <w:top w:w="75" w:type="dxa"/>
              <w:left w:w="150" w:type="dxa"/>
              <w:bottom w:w="75" w:type="dxa"/>
              <w:right w:w="75" w:type="dxa"/>
            </w:tcMar>
            <w:vAlign w:val="center"/>
            <w:hideMark/>
          </w:tcPr>
          <w:p w14:paraId="038A1557" w14:textId="77777777" w:rsidR="00A903A6" w:rsidRPr="00A903A6" w:rsidRDefault="00A903A6" w:rsidP="00A903A6">
            <w:pPr>
              <w:widowControl/>
              <w:wordWrap w:val="0"/>
              <w:spacing w:before="300" w:after="300" w:line="375" w:lineRule="atLeast"/>
              <w:jc w:val="left"/>
              <w:rPr>
                <w:rFonts w:ascii="微软雅黑" w:eastAsia="微软雅黑" w:hAnsi="微软雅黑" w:cs="宋体" w:hint="eastAsia"/>
                <w:color w:val="000000"/>
                <w:kern w:val="0"/>
                <w:szCs w:val="21"/>
              </w:rPr>
            </w:pPr>
            <w:r w:rsidRPr="00A903A6">
              <w:rPr>
                <w:rFonts w:ascii="微软雅黑" w:eastAsia="微软雅黑" w:hAnsi="微软雅黑" w:cs="宋体" w:hint="eastAsia"/>
                <w:color w:val="000000"/>
                <w:kern w:val="0"/>
                <w:szCs w:val="21"/>
              </w:rPr>
              <w:t>国务院</w:t>
            </w:r>
          </w:p>
        </w:tc>
        <w:tc>
          <w:tcPr>
            <w:tcW w:w="600" w:type="pct"/>
            <w:shd w:val="clear" w:color="auto" w:fill="F4F4F4"/>
            <w:tcMar>
              <w:top w:w="75" w:type="dxa"/>
              <w:left w:w="150" w:type="dxa"/>
              <w:bottom w:w="75" w:type="dxa"/>
              <w:right w:w="75" w:type="dxa"/>
            </w:tcMar>
            <w:vAlign w:val="center"/>
            <w:hideMark/>
          </w:tcPr>
          <w:p w14:paraId="63616DAA" w14:textId="77777777" w:rsidR="00A903A6" w:rsidRPr="00A903A6" w:rsidRDefault="00A903A6" w:rsidP="00A903A6">
            <w:pPr>
              <w:widowControl/>
              <w:wordWrap w:val="0"/>
              <w:spacing w:before="300" w:after="300" w:line="375" w:lineRule="atLeast"/>
              <w:jc w:val="left"/>
              <w:rPr>
                <w:rFonts w:ascii="微软雅黑" w:eastAsia="微软雅黑" w:hAnsi="微软雅黑" w:cs="宋体" w:hint="eastAsia"/>
                <w:b/>
                <w:bCs/>
                <w:color w:val="000000"/>
                <w:kern w:val="0"/>
                <w:szCs w:val="21"/>
              </w:rPr>
            </w:pPr>
            <w:r w:rsidRPr="00A903A6">
              <w:rPr>
                <w:rFonts w:ascii="微软雅黑" w:eastAsia="微软雅黑" w:hAnsi="微软雅黑" w:cs="宋体" w:hint="eastAsia"/>
                <w:b/>
                <w:bCs/>
                <w:color w:val="000000"/>
                <w:kern w:val="0"/>
                <w:szCs w:val="21"/>
              </w:rPr>
              <w:t>发布文号</w:t>
            </w:r>
          </w:p>
        </w:tc>
        <w:tc>
          <w:tcPr>
            <w:tcW w:w="0" w:type="auto"/>
            <w:shd w:val="clear" w:color="auto" w:fill="F4F4F4"/>
            <w:tcMar>
              <w:top w:w="75" w:type="dxa"/>
              <w:left w:w="150" w:type="dxa"/>
              <w:bottom w:w="75" w:type="dxa"/>
              <w:right w:w="75" w:type="dxa"/>
            </w:tcMar>
            <w:vAlign w:val="center"/>
            <w:hideMark/>
          </w:tcPr>
          <w:p w14:paraId="2BB90267" w14:textId="77777777" w:rsidR="00A903A6" w:rsidRPr="00A903A6" w:rsidRDefault="00A903A6" w:rsidP="00A903A6">
            <w:pPr>
              <w:widowControl/>
              <w:wordWrap w:val="0"/>
              <w:spacing w:before="300" w:after="300" w:line="375" w:lineRule="atLeast"/>
              <w:jc w:val="left"/>
              <w:rPr>
                <w:rFonts w:ascii="微软雅黑" w:eastAsia="微软雅黑" w:hAnsi="微软雅黑" w:cs="宋体" w:hint="eastAsia"/>
                <w:color w:val="000000"/>
                <w:kern w:val="0"/>
                <w:szCs w:val="21"/>
              </w:rPr>
            </w:pPr>
            <w:r w:rsidRPr="00A903A6">
              <w:rPr>
                <w:rFonts w:ascii="微软雅黑" w:eastAsia="微软雅黑" w:hAnsi="微软雅黑" w:cs="宋体" w:hint="eastAsia"/>
                <w:color w:val="000000"/>
                <w:kern w:val="0"/>
                <w:szCs w:val="21"/>
              </w:rPr>
              <w:t>国务院204号令</w:t>
            </w:r>
          </w:p>
        </w:tc>
      </w:tr>
      <w:tr w:rsidR="00A903A6" w:rsidRPr="00A903A6" w14:paraId="7131E035" w14:textId="77777777" w:rsidTr="00A903A6">
        <w:trPr>
          <w:trHeight w:val="375"/>
          <w:tblCellSpacing w:w="15" w:type="dxa"/>
        </w:trPr>
        <w:tc>
          <w:tcPr>
            <w:tcW w:w="0" w:type="auto"/>
            <w:shd w:val="clear" w:color="auto" w:fill="F4F4F4"/>
            <w:tcMar>
              <w:top w:w="75" w:type="dxa"/>
              <w:left w:w="150" w:type="dxa"/>
              <w:bottom w:w="75" w:type="dxa"/>
              <w:right w:w="75" w:type="dxa"/>
            </w:tcMar>
            <w:vAlign w:val="center"/>
            <w:hideMark/>
          </w:tcPr>
          <w:p w14:paraId="0DE4A430" w14:textId="77777777" w:rsidR="00A903A6" w:rsidRPr="00A903A6" w:rsidRDefault="00A903A6" w:rsidP="00A903A6">
            <w:pPr>
              <w:widowControl/>
              <w:wordWrap w:val="0"/>
              <w:spacing w:before="300" w:after="300" w:line="375" w:lineRule="atLeast"/>
              <w:jc w:val="left"/>
              <w:rPr>
                <w:rFonts w:ascii="微软雅黑" w:eastAsia="微软雅黑" w:hAnsi="微软雅黑" w:cs="宋体" w:hint="eastAsia"/>
                <w:b/>
                <w:bCs/>
                <w:color w:val="000000"/>
                <w:kern w:val="0"/>
                <w:szCs w:val="21"/>
              </w:rPr>
            </w:pPr>
            <w:r w:rsidRPr="00A903A6">
              <w:rPr>
                <w:rFonts w:ascii="微软雅黑" w:eastAsia="微软雅黑" w:hAnsi="微软雅黑" w:cs="宋体" w:hint="eastAsia"/>
                <w:b/>
                <w:bCs/>
                <w:color w:val="000000"/>
                <w:kern w:val="0"/>
                <w:szCs w:val="21"/>
              </w:rPr>
              <w:t>发布日期</w:t>
            </w:r>
          </w:p>
        </w:tc>
        <w:tc>
          <w:tcPr>
            <w:tcW w:w="0" w:type="auto"/>
            <w:shd w:val="clear" w:color="auto" w:fill="F4F4F4"/>
            <w:tcMar>
              <w:top w:w="75" w:type="dxa"/>
              <w:left w:w="150" w:type="dxa"/>
              <w:bottom w:w="75" w:type="dxa"/>
              <w:right w:w="75" w:type="dxa"/>
            </w:tcMar>
            <w:vAlign w:val="center"/>
            <w:hideMark/>
          </w:tcPr>
          <w:p w14:paraId="177B8D99" w14:textId="77777777" w:rsidR="00A903A6" w:rsidRPr="00A903A6" w:rsidRDefault="00A903A6" w:rsidP="00A903A6">
            <w:pPr>
              <w:widowControl/>
              <w:wordWrap w:val="0"/>
              <w:spacing w:before="300" w:after="300" w:line="375" w:lineRule="atLeast"/>
              <w:jc w:val="left"/>
              <w:rPr>
                <w:rFonts w:ascii="微软雅黑" w:eastAsia="微软雅黑" w:hAnsi="微软雅黑" w:cs="宋体" w:hint="eastAsia"/>
                <w:color w:val="000000"/>
                <w:kern w:val="0"/>
                <w:szCs w:val="21"/>
              </w:rPr>
            </w:pPr>
            <w:hyperlink r:id="rId4" w:history="1">
              <w:r w:rsidRPr="00A903A6">
                <w:rPr>
                  <w:rFonts w:ascii="微软雅黑" w:eastAsia="微软雅黑" w:hAnsi="微软雅黑" w:cs="宋体" w:hint="eastAsia"/>
                  <w:color w:val="333333"/>
                  <w:kern w:val="0"/>
                  <w:szCs w:val="21"/>
                  <w:u w:val="single"/>
                </w:rPr>
                <w:t>1996-09-30</w:t>
              </w:r>
            </w:hyperlink>
          </w:p>
        </w:tc>
        <w:tc>
          <w:tcPr>
            <w:tcW w:w="0" w:type="auto"/>
            <w:shd w:val="clear" w:color="auto" w:fill="F4F4F4"/>
            <w:tcMar>
              <w:top w:w="75" w:type="dxa"/>
              <w:left w:w="150" w:type="dxa"/>
              <w:bottom w:w="75" w:type="dxa"/>
              <w:right w:w="75" w:type="dxa"/>
            </w:tcMar>
            <w:vAlign w:val="center"/>
            <w:hideMark/>
          </w:tcPr>
          <w:p w14:paraId="79F3D6FC" w14:textId="77777777" w:rsidR="00A903A6" w:rsidRPr="00A903A6" w:rsidRDefault="00A903A6" w:rsidP="00A903A6">
            <w:pPr>
              <w:widowControl/>
              <w:wordWrap w:val="0"/>
              <w:spacing w:before="300" w:after="300" w:line="375" w:lineRule="atLeast"/>
              <w:jc w:val="left"/>
              <w:rPr>
                <w:rFonts w:ascii="微软雅黑" w:eastAsia="微软雅黑" w:hAnsi="微软雅黑" w:cs="宋体" w:hint="eastAsia"/>
                <w:b/>
                <w:bCs/>
                <w:color w:val="000000"/>
                <w:kern w:val="0"/>
                <w:szCs w:val="21"/>
              </w:rPr>
            </w:pPr>
            <w:r w:rsidRPr="00A903A6">
              <w:rPr>
                <w:rFonts w:ascii="微软雅黑" w:eastAsia="微软雅黑" w:hAnsi="微软雅黑" w:cs="宋体" w:hint="eastAsia"/>
                <w:b/>
                <w:bCs/>
                <w:color w:val="000000"/>
                <w:kern w:val="0"/>
                <w:szCs w:val="21"/>
              </w:rPr>
              <w:t>生效日期</w:t>
            </w:r>
          </w:p>
        </w:tc>
        <w:tc>
          <w:tcPr>
            <w:tcW w:w="0" w:type="auto"/>
            <w:shd w:val="clear" w:color="auto" w:fill="F4F4F4"/>
            <w:tcMar>
              <w:top w:w="75" w:type="dxa"/>
              <w:left w:w="150" w:type="dxa"/>
              <w:bottom w:w="75" w:type="dxa"/>
              <w:right w:w="75" w:type="dxa"/>
            </w:tcMar>
            <w:vAlign w:val="center"/>
            <w:hideMark/>
          </w:tcPr>
          <w:p w14:paraId="1A8B686D" w14:textId="77777777" w:rsidR="00A903A6" w:rsidRPr="00A903A6" w:rsidRDefault="00A903A6" w:rsidP="00A903A6">
            <w:pPr>
              <w:widowControl/>
              <w:wordWrap w:val="0"/>
              <w:spacing w:before="300" w:after="300" w:line="375" w:lineRule="atLeast"/>
              <w:jc w:val="left"/>
              <w:rPr>
                <w:rFonts w:ascii="微软雅黑" w:eastAsia="微软雅黑" w:hAnsi="微软雅黑" w:cs="宋体" w:hint="eastAsia"/>
                <w:color w:val="000000"/>
                <w:kern w:val="0"/>
                <w:szCs w:val="21"/>
              </w:rPr>
            </w:pPr>
            <w:hyperlink r:id="rId5" w:history="1">
              <w:r w:rsidRPr="00A903A6">
                <w:rPr>
                  <w:rFonts w:ascii="微软雅黑" w:eastAsia="微软雅黑" w:hAnsi="微软雅黑" w:cs="宋体" w:hint="eastAsia"/>
                  <w:color w:val="333333"/>
                  <w:kern w:val="0"/>
                  <w:szCs w:val="21"/>
                  <w:u w:val="single"/>
                </w:rPr>
                <w:t>1997-01-01</w:t>
              </w:r>
            </w:hyperlink>
          </w:p>
        </w:tc>
      </w:tr>
      <w:tr w:rsidR="00A903A6" w:rsidRPr="00A903A6" w14:paraId="4C9F42B2" w14:textId="77777777" w:rsidTr="00A903A6">
        <w:trPr>
          <w:trHeight w:val="375"/>
          <w:tblCellSpacing w:w="15" w:type="dxa"/>
        </w:trPr>
        <w:tc>
          <w:tcPr>
            <w:tcW w:w="0" w:type="auto"/>
            <w:shd w:val="clear" w:color="auto" w:fill="F4F4F4"/>
            <w:tcMar>
              <w:top w:w="75" w:type="dxa"/>
              <w:left w:w="150" w:type="dxa"/>
              <w:bottom w:w="75" w:type="dxa"/>
              <w:right w:w="75" w:type="dxa"/>
            </w:tcMar>
            <w:vAlign w:val="center"/>
            <w:hideMark/>
          </w:tcPr>
          <w:p w14:paraId="21733D74" w14:textId="77777777" w:rsidR="00A903A6" w:rsidRPr="00A903A6" w:rsidRDefault="00A903A6" w:rsidP="00A903A6">
            <w:pPr>
              <w:widowControl/>
              <w:wordWrap w:val="0"/>
              <w:spacing w:before="300" w:after="300" w:line="375" w:lineRule="atLeast"/>
              <w:jc w:val="left"/>
              <w:rPr>
                <w:rFonts w:ascii="微软雅黑" w:eastAsia="微软雅黑" w:hAnsi="微软雅黑" w:cs="宋体" w:hint="eastAsia"/>
                <w:b/>
                <w:bCs/>
                <w:color w:val="000000"/>
                <w:kern w:val="0"/>
                <w:szCs w:val="21"/>
              </w:rPr>
            </w:pPr>
            <w:r w:rsidRPr="00A903A6">
              <w:rPr>
                <w:rFonts w:ascii="微软雅黑" w:eastAsia="微软雅黑" w:hAnsi="微软雅黑" w:cs="宋体" w:hint="eastAsia"/>
                <w:b/>
                <w:bCs/>
                <w:color w:val="000000"/>
                <w:kern w:val="0"/>
                <w:szCs w:val="21"/>
              </w:rPr>
              <w:t>有效性状态</w:t>
            </w:r>
          </w:p>
        </w:tc>
        <w:tc>
          <w:tcPr>
            <w:tcW w:w="0" w:type="auto"/>
            <w:shd w:val="clear" w:color="auto" w:fill="F4F4F4"/>
            <w:tcMar>
              <w:top w:w="75" w:type="dxa"/>
              <w:left w:w="150" w:type="dxa"/>
              <w:bottom w:w="75" w:type="dxa"/>
              <w:right w:w="75" w:type="dxa"/>
            </w:tcMar>
            <w:vAlign w:val="center"/>
            <w:hideMark/>
          </w:tcPr>
          <w:p w14:paraId="5D0949B4" w14:textId="14CDCD50" w:rsidR="00A903A6" w:rsidRPr="00A903A6" w:rsidRDefault="00A903A6" w:rsidP="00A903A6">
            <w:pPr>
              <w:widowControl/>
              <w:wordWrap w:val="0"/>
              <w:spacing w:before="300" w:after="300" w:line="375" w:lineRule="atLeast"/>
              <w:jc w:val="left"/>
              <w:rPr>
                <w:rFonts w:ascii="微软雅黑" w:eastAsia="微软雅黑" w:hAnsi="微软雅黑" w:cs="宋体" w:hint="eastAsia"/>
                <w:color w:val="000000"/>
                <w:kern w:val="0"/>
                <w:szCs w:val="21"/>
              </w:rPr>
            </w:pPr>
            <w:r w:rsidRPr="00A903A6">
              <w:rPr>
                <w:rFonts w:ascii="微软雅黑" w:eastAsia="微软雅黑" w:hAnsi="微软雅黑" w:cs="宋体"/>
                <w:noProof/>
                <w:color w:val="000000"/>
                <w:kern w:val="0"/>
                <w:szCs w:val="21"/>
              </w:rPr>
              <w:drawing>
                <wp:inline distT="0" distB="0" distL="0" distR="0" wp14:anchorId="075C50F8" wp14:editId="0CC24B42">
                  <wp:extent cx="476250" cy="158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158750"/>
                          </a:xfrm>
                          <a:prstGeom prst="rect">
                            <a:avLst/>
                          </a:prstGeom>
                          <a:noFill/>
                          <a:ln>
                            <a:noFill/>
                          </a:ln>
                        </pic:spPr>
                      </pic:pic>
                    </a:graphicData>
                  </a:graphic>
                </wp:inline>
              </w:drawing>
            </w:r>
          </w:p>
        </w:tc>
        <w:tc>
          <w:tcPr>
            <w:tcW w:w="0" w:type="auto"/>
            <w:shd w:val="clear" w:color="auto" w:fill="F4F4F4"/>
            <w:tcMar>
              <w:top w:w="75" w:type="dxa"/>
              <w:left w:w="150" w:type="dxa"/>
              <w:bottom w:w="75" w:type="dxa"/>
              <w:right w:w="75" w:type="dxa"/>
            </w:tcMar>
            <w:vAlign w:val="center"/>
            <w:hideMark/>
          </w:tcPr>
          <w:p w14:paraId="485D71EE" w14:textId="77777777" w:rsidR="00A903A6" w:rsidRPr="00A903A6" w:rsidRDefault="00A903A6" w:rsidP="00A903A6">
            <w:pPr>
              <w:widowControl/>
              <w:wordWrap w:val="0"/>
              <w:spacing w:before="300" w:after="300" w:line="375" w:lineRule="atLeast"/>
              <w:jc w:val="left"/>
              <w:rPr>
                <w:rFonts w:ascii="微软雅黑" w:eastAsia="微软雅黑" w:hAnsi="微软雅黑" w:cs="宋体" w:hint="eastAsia"/>
                <w:b/>
                <w:bCs/>
                <w:color w:val="000000"/>
                <w:kern w:val="0"/>
                <w:szCs w:val="21"/>
              </w:rPr>
            </w:pPr>
            <w:r w:rsidRPr="00A903A6">
              <w:rPr>
                <w:rFonts w:ascii="微软雅黑" w:eastAsia="微软雅黑" w:hAnsi="微软雅黑" w:cs="宋体" w:hint="eastAsia"/>
                <w:b/>
                <w:bCs/>
                <w:color w:val="000000"/>
                <w:kern w:val="0"/>
                <w:szCs w:val="21"/>
              </w:rPr>
              <w:t>废止日期</w:t>
            </w:r>
          </w:p>
        </w:tc>
        <w:tc>
          <w:tcPr>
            <w:tcW w:w="0" w:type="auto"/>
            <w:shd w:val="clear" w:color="auto" w:fill="F4F4F4"/>
            <w:tcMar>
              <w:top w:w="75" w:type="dxa"/>
              <w:left w:w="150" w:type="dxa"/>
              <w:bottom w:w="75" w:type="dxa"/>
              <w:right w:w="75" w:type="dxa"/>
            </w:tcMar>
            <w:vAlign w:val="center"/>
            <w:hideMark/>
          </w:tcPr>
          <w:p w14:paraId="43E894BF" w14:textId="77777777" w:rsidR="00A903A6" w:rsidRPr="00A903A6" w:rsidRDefault="00A903A6" w:rsidP="00A903A6">
            <w:pPr>
              <w:widowControl/>
              <w:wordWrap w:val="0"/>
              <w:spacing w:before="300" w:after="300" w:line="375" w:lineRule="atLeast"/>
              <w:jc w:val="left"/>
              <w:rPr>
                <w:rFonts w:ascii="微软雅黑" w:eastAsia="微软雅黑" w:hAnsi="微软雅黑" w:cs="宋体" w:hint="eastAsia"/>
                <w:color w:val="000000"/>
                <w:kern w:val="0"/>
                <w:szCs w:val="21"/>
              </w:rPr>
            </w:pPr>
            <w:r w:rsidRPr="00A903A6">
              <w:rPr>
                <w:rFonts w:ascii="微软雅黑" w:eastAsia="微软雅黑" w:hAnsi="微软雅黑" w:cs="宋体" w:hint="eastAsia"/>
                <w:color w:val="000000"/>
                <w:kern w:val="0"/>
                <w:szCs w:val="21"/>
              </w:rPr>
              <w:t>暂无</w:t>
            </w:r>
          </w:p>
        </w:tc>
      </w:tr>
      <w:tr w:rsidR="00A903A6" w:rsidRPr="00A903A6" w14:paraId="292BEE30" w14:textId="77777777" w:rsidTr="00A903A6">
        <w:trPr>
          <w:trHeight w:val="375"/>
          <w:tblCellSpacing w:w="15" w:type="dxa"/>
        </w:trPr>
        <w:tc>
          <w:tcPr>
            <w:tcW w:w="0" w:type="auto"/>
            <w:shd w:val="clear" w:color="auto" w:fill="F4F4F4"/>
            <w:tcMar>
              <w:top w:w="75" w:type="dxa"/>
              <w:left w:w="150" w:type="dxa"/>
              <w:bottom w:w="75" w:type="dxa"/>
              <w:right w:w="75" w:type="dxa"/>
            </w:tcMar>
            <w:vAlign w:val="center"/>
            <w:hideMark/>
          </w:tcPr>
          <w:p w14:paraId="14CE824E" w14:textId="77777777" w:rsidR="00A903A6" w:rsidRPr="00A903A6" w:rsidRDefault="00A903A6" w:rsidP="00A903A6">
            <w:pPr>
              <w:widowControl/>
              <w:wordWrap w:val="0"/>
              <w:spacing w:before="300" w:after="300" w:line="375" w:lineRule="atLeast"/>
              <w:jc w:val="left"/>
              <w:rPr>
                <w:rFonts w:ascii="微软雅黑" w:eastAsia="微软雅黑" w:hAnsi="微软雅黑" w:cs="宋体" w:hint="eastAsia"/>
                <w:b/>
                <w:bCs/>
                <w:color w:val="000000"/>
                <w:kern w:val="0"/>
                <w:szCs w:val="21"/>
              </w:rPr>
            </w:pPr>
            <w:r w:rsidRPr="00A903A6">
              <w:rPr>
                <w:rFonts w:ascii="微软雅黑" w:eastAsia="微软雅黑" w:hAnsi="微软雅黑" w:cs="宋体" w:hint="eastAsia"/>
                <w:b/>
                <w:bCs/>
                <w:color w:val="000000"/>
                <w:kern w:val="0"/>
                <w:szCs w:val="21"/>
              </w:rPr>
              <w:t>备注</w:t>
            </w:r>
          </w:p>
        </w:tc>
        <w:tc>
          <w:tcPr>
            <w:tcW w:w="0" w:type="auto"/>
            <w:gridSpan w:val="3"/>
            <w:shd w:val="clear" w:color="auto" w:fill="F4F4F4"/>
            <w:tcMar>
              <w:top w:w="75" w:type="dxa"/>
              <w:left w:w="150" w:type="dxa"/>
              <w:bottom w:w="75" w:type="dxa"/>
              <w:right w:w="75" w:type="dxa"/>
            </w:tcMar>
            <w:vAlign w:val="center"/>
            <w:hideMark/>
          </w:tcPr>
          <w:p w14:paraId="5169A36E" w14:textId="77777777" w:rsidR="00A903A6" w:rsidRPr="00A903A6" w:rsidRDefault="00A903A6" w:rsidP="00A903A6">
            <w:pPr>
              <w:widowControl/>
              <w:wordWrap w:val="0"/>
              <w:spacing w:before="300" w:after="300" w:line="375" w:lineRule="atLeast"/>
              <w:jc w:val="left"/>
              <w:rPr>
                <w:rFonts w:ascii="微软雅黑" w:eastAsia="微软雅黑" w:hAnsi="微软雅黑" w:cs="宋体" w:hint="eastAsia"/>
                <w:color w:val="000000"/>
                <w:kern w:val="0"/>
                <w:szCs w:val="21"/>
              </w:rPr>
            </w:pPr>
            <w:r w:rsidRPr="00A903A6">
              <w:rPr>
                <w:rFonts w:ascii="微软雅黑" w:eastAsia="微软雅黑" w:hAnsi="微软雅黑" w:cs="宋体" w:hint="eastAsia"/>
                <w:color w:val="000000"/>
                <w:kern w:val="0"/>
                <w:szCs w:val="21"/>
              </w:rPr>
              <w:t xml:space="preserve">　　现发布《中华人民共和国野生植物保护条例》，自１９９７年１月１日起施行。 　　总理 李鹏 　　１９９６年９月３０日</w:t>
            </w:r>
            <w:r w:rsidRPr="00A903A6">
              <w:rPr>
                <w:rFonts w:ascii="微软雅黑" w:eastAsia="微软雅黑" w:hAnsi="微软雅黑" w:cs="宋体" w:hint="eastAsia"/>
                <w:color w:val="000000"/>
                <w:kern w:val="0"/>
                <w:szCs w:val="21"/>
              </w:rPr>
              <w:br/>
            </w:r>
            <w:r w:rsidRPr="00A903A6">
              <w:rPr>
                <w:rFonts w:ascii="微软雅黑" w:eastAsia="微软雅黑" w:hAnsi="微软雅黑" w:cs="宋体" w:hint="eastAsia"/>
                <w:color w:val="000000"/>
                <w:kern w:val="0"/>
                <w:szCs w:val="21"/>
              </w:rPr>
              <w:br/>
            </w:r>
            <w:r w:rsidRPr="00A903A6">
              <w:rPr>
                <w:rFonts w:ascii="Verdana" w:eastAsia="微软雅黑" w:hAnsi="Verdana" w:cs="宋体"/>
                <w:color w:val="000000"/>
                <w:kern w:val="0"/>
                <w:sz w:val="20"/>
                <w:szCs w:val="20"/>
              </w:rPr>
              <w:t>根据《国务院关于修改部分行政法规的决定》</w:t>
            </w:r>
            <w:r w:rsidRPr="00A903A6">
              <w:rPr>
                <w:rFonts w:ascii="Verdana" w:eastAsia="微软雅黑" w:hAnsi="Verdana" w:cs="宋体"/>
                <w:color w:val="000000"/>
                <w:kern w:val="0"/>
                <w:sz w:val="20"/>
                <w:szCs w:val="20"/>
              </w:rPr>
              <w:t>(</w:t>
            </w:r>
            <w:proofErr w:type="gramStart"/>
            <w:r w:rsidRPr="00A903A6">
              <w:rPr>
                <w:rFonts w:ascii="Verdana" w:eastAsia="微软雅黑" w:hAnsi="Verdana" w:cs="宋体"/>
                <w:color w:val="000000"/>
                <w:kern w:val="0"/>
                <w:sz w:val="20"/>
                <w:szCs w:val="20"/>
              </w:rPr>
              <w:t>国令第</w:t>
            </w:r>
            <w:r w:rsidRPr="00A903A6">
              <w:rPr>
                <w:rFonts w:ascii="Verdana" w:eastAsia="微软雅黑" w:hAnsi="Verdana" w:cs="宋体"/>
                <w:color w:val="000000"/>
                <w:kern w:val="0"/>
                <w:sz w:val="20"/>
                <w:szCs w:val="20"/>
              </w:rPr>
              <w:t>687</w:t>
            </w:r>
            <w:r w:rsidRPr="00A903A6">
              <w:rPr>
                <w:rFonts w:ascii="Verdana" w:eastAsia="微软雅黑" w:hAnsi="Verdana" w:cs="宋体"/>
                <w:color w:val="000000"/>
                <w:kern w:val="0"/>
                <w:sz w:val="20"/>
                <w:szCs w:val="20"/>
              </w:rPr>
              <w:t>号</w:t>
            </w:r>
            <w:proofErr w:type="gramEnd"/>
            <w:r w:rsidRPr="00A903A6">
              <w:rPr>
                <w:rFonts w:ascii="Verdana" w:eastAsia="微软雅黑" w:hAnsi="Verdana" w:cs="宋体"/>
                <w:color w:val="000000"/>
                <w:kern w:val="0"/>
                <w:sz w:val="20"/>
                <w:szCs w:val="20"/>
              </w:rPr>
              <w:t>)</w:t>
            </w:r>
            <w:r w:rsidRPr="00A903A6">
              <w:rPr>
                <w:rFonts w:ascii="Verdana" w:eastAsia="微软雅黑" w:hAnsi="Verdana" w:cs="宋体"/>
                <w:color w:val="000000"/>
                <w:kern w:val="0"/>
                <w:sz w:val="20"/>
                <w:szCs w:val="20"/>
              </w:rPr>
              <w:t>，于</w:t>
            </w:r>
            <w:r w:rsidRPr="00A903A6">
              <w:rPr>
                <w:rFonts w:ascii="Verdana" w:eastAsia="微软雅黑" w:hAnsi="Verdana" w:cs="宋体"/>
                <w:color w:val="000000"/>
                <w:kern w:val="0"/>
                <w:sz w:val="20"/>
                <w:szCs w:val="20"/>
              </w:rPr>
              <w:t>2017</w:t>
            </w:r>
            <w:r w:rsidRPr="00A903A6">
              <w:rPr>
                <w:rFonts w:ascii="Verdana" w:eastAsia="微软雅黑" w:hAnsi="Verdana" w:cs="宋体"/>
                <w:color w:val="000000"/>
                <w:kern w:val="0"/>
                <w:sz w:val="20"/>
                <w:szCs w:val="20"/>
              </w:rPr>
              <w:t>年</w:t>
            </w:r>
            <w:r w:rsidRPr="00A903A6">
              <w:rPr>
                <w:rFonts w:ascii="Verdana" w:eastAsia="微软雅黑" w:hAnsi="Verdana" w:cs="宋体"/>
                <w:color w:val="000000"/>
                <w:kern w:val="0"/>
                <w:sz w:val="20"/>
                <w:szCs w:val="20"/>
              </w:rPr>
              <w:t>10</w:t>
            </w:r>
            <w:r w:rsidRPr="00A903A6">
              <w:rPr>
                <w:rFonts w:ascii="Verdana" w:eastAsia="微软雅黑" w:hAnsi="Verdana" w:cs="宋体"/>
                <w:color w:val="000000"/>
                <w:kern w:val="0"/>
                <w:sz w:val="20"/>
                <w:szCs w:val="20"/>
              </w:rPr>
              <w:t>月</w:t>
            </w:r>
            <w:r w:rsidRPr="00A903A6">
              <w:rPr>
                <w:rFonts w:ascii="Verdana" w:eastAsia="微软雅黑" w:hAnsi="Verdana" w:cs="宋体"/>
                <w:color w:val="000000"/>
                <w:kern w:val="0"/>
                <w:sz w:val="20"/>
                <w:szCs w:val="20"/>
              </w:rPr>
              <w:t>7</w:t>
            </w:r>
            <w:r w:rsidRPr="00A903A6">
              <w:rPr>
                <w:rFonts w:ascii="Verdana" w:eastAsia="微软雅黑" w:hAnsi="Verdana" w:cs="宋体"/>
                <w:color w:val="000000"/>
                <w:kern w:val="0"/>
                <w:sz w:val="20"/>
                <w:szCs w:val="20"/>
              </w:rPr>
              <w:t>日实施。第十六条第一款修改为：</w:t>
            </w:r>
            <w:r w:rsidRPr="00A903A6">
              <w:rPr>
                <w:rFonts w:ascii="Verdana" w:eastAsia="微软雅黑" w:hAnsi="Verdana" w:cs="宋体"/>
                <w:color w:val="000000"/>
                <w:kern w:val="0"/>
                <w:sz w:val="20"/>
                <w:szCs w:val="20"/>
              </w:rPr>
              <w:t>“</w:t>
            </w:r>
            <w:r w:rsidRPr="00A903A6">
              <w:rPr>
                <w:rFonts w:ascii="Verdana" w:eastAsia="微软雅黑" w:hAnsi="Verdana" w:cs="宋体"/>
                <w:color w:val="000000"/>
                <w:kern w:val="0"/>
                <w:sz w:val="20"/>
                <w:szCs w:val="20"/>
              </w:rPr>
              <w:t>禁止采集国家一级保护野生植物。因科学研究、</w:t>
            </w:r>
            <w:r w:rsidRPr="00A903A6">
              <w:rPr>
                <w:rFonts w:ascii="Verdana" w:eastAsia="微软雅黑" w:hAnsi="Verdana" w:cs="宋体"/>
                <w:color w:val="000000"/>
                <w:kern w:val="0"/>
                <w:sz w:val="20"/>
                <w:szCs w:val="20"/>
              </w:rPr>
              <w:lastRenderedPageBreak/>
              <w:t>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r w:rsidRPr="00A903A6">
              <w:rPr>
                <w:rFonts w:ascii="Verdana" w:eastAsia="微软雅黑" w:hAnsi="Verdana" w:cs="宋体"/>
                <w:color w:val="000000"/>
                <w:kern w:val="0"/>
                <w:sz w:val="20"/>
                <w:szCs w:val="20"/>
              </w:rPr>
              <w:t>”</w:t>
            </w:r>
          </w:p>
          <w:p w14:paraId="5CAF9C89" w14:textId="77777777" w:rsidR="00A903A6" w:rsidRPr="00A903A6" w:rsidRDefault="00A903A6" w:rsidP="00A903A6">
            <w:pPr>
              <w:widowControl/>
              <w:wordWrap w:val="0"/>
              <w:spacing w:before="300" w:after="300" w:line="375" w:lineRule="atLeast"/>
              <w:jc w:val="left"/>
              <w:rPr>
                <w:rFonts w:ascii="Verdana" w:eastAsia="微软雅黑" w:hAnsi="Verdana" w:cs="宋体" w:hint="eastAsia"/>
                <w:color w:val="000000"/>
                <w:kern w:val="0"/>
                <w:sz w:val="20"/>
                <w:szCs w:val="20"/>
              </w:rPr>
            </w:pPr>
            <w:r w:rsidRPr="00A903A6">
              <w:rPr>
                <w:rFonts w:ascii="Verdana" w:eastAsia="微软雅黑" w:hAnsi="Verdana" w:cs="宋体"/>
                <w:color w:val="000000"/>
                <w:kern w:val="0"/>
                <w:sz w:val="20"/>
                <w:szCs w:val="20"/>
              </w:rPr>
              <w:t xml:space="preserve">　　第二十条第一款修改为：</w:t>
            </w:r>
            <w:r w:rsidRPr="00A903A6">
              <w:rPr>
                <w:rFonts w:ascii="Verdana" w:eastAsia="微软雅黑" w:hAnsi="Verdana" w:cs="宋体"/>
                <w:color w:val="000000"/>
                <w:kern w:val="0"/>
                <w:sz w:val="20"/>
                <w:szCs w:val="20"/>
              </w:rPr>
              <w:t>“</w:t>
            </w:r>
            <w:r w:rsidRPr="00A903A6">
              <w:rPr>
                <w:rFonts w:ascii="Verdana" w:eastAsia="微软雅黑" w:hAnsi="Verdana" w:cs="宋体"/>
                <w:color w:val="000000"/>
                <w:kern w:val="0"/>
                <w:sz w:val="20"/>
                <w:szCs w:val="20"/>
              </w:rPr>
              <w:t>出口国家重点保护野生植物或者进出口中国参加的国际公约所限制进出口的野生植物的，应当按照管理权限经国务院林业行政主管部门批准，或者经进出口者所在地的省、自治区、直辖市人民政府农业行政主管部门审核后报国务院农业行政主管部门批准，并取得国家濒危物种进出口管理机构核发的允许进出口证明书或者标签。海关凭允许进出口证明书或者标签查验放行。国务院野生植物行政主管部门应当将有关野生植物进出口的资料抄送国务院环境保护部门。</w:t>
            </w:r>
            <w:r w:rsidRPr="00A903A6">
              <w:rPr>
                <w:rFonts w:ascii="Verdana" w:eastAsia="微软雅黑" w:hAnsi="Verdana" w:cs="宋体"/>
                <w:color w:val="000000"/>
                <w:kern w:val="0"/>
                <w:sz w:val="20"/>
                <w:szCs w:val="20"/>
              </w:rPr>
              <w:t>”</w:t>
            </w:r>
          </w:p>
          <w:p w14:paraId="58150AFC" w14:textId="77777777" w:rsidR="00A903A6" w:rsidRPr="00A903A6" w:rsidRDefault="00A903A6" w:rsidP="00A903A6">
            <w:pPr>
              <w:widowControl/>
              <w:wordWrap w:val="0"/>
              <w:spacing w:before="300" w:after="300" w:line="375" w:lineRule="atLeast"/>
              <w:jc w:val="left"/>
              <w:rPr>
                <w:rFonts w:ascii="Verdana" w:eastAsia="微软雅黑" w:hAnsi="Verdana" w:cs="宋体"/>
                <w:color w:val="000000"/>
                <w:kern w:val="0"/>
                <w:sz w:val="20"/>
                <w:szCs w:val="20"/>
              </w:rPr>
            </w:pPr>
            <w:r w:rsidRPr="00A903A6">
              <w:rPr>
                <w:rFonts w:ascii="Verdana" w:eastAsia="微软雅黑" w:hAnsi="Verdana" w:cs="宋体"/>
                <w:color w:val="000000"/>
                <w:kern w:val="0"/>
                <w:sz w:val="20"/>
                <w:szCs w:val="20"/>
              </w:rPr>
              <w:t xml:space="preserve">　　第二十一条第二款修改为：</w:t>
            </w:r>
            <w:r w:rsidRPr="00A903A6">
              <w:rPr>
                <w:rFonts w:ascii="Verdana" w:eastAsia="微软雅黑" w:hAnsi="Verdana" w:cs="宋体"/>
                <w:color w:val="000000"/>
                <w:kern w:val="0"/>
                <w:sz w:val="20"/>
                <w:szCs w:val="20"/>
              </w:rPr>
              <w:t>“</w:t>
            </w:r>
            <w:r w:rsidRPr="00A903A6">
              <w:rPr>
                <w:rFonts w:ascii="Verdana" w:eastAsia="微软雅黑" w:hAnsi="Verdana" w:cs="宋体"/>
                <w:color w:val="000000"/>
                <w:kern w:val="0"/>
                <w:sz w:val="20"/>
                <w:szCs w:val="20"/>
              </w:rPr>
              <w:t>外国人在中国境内对农业行政主管部门管理的国家重点保护野生植物进行野外考察的，应当经农业行政主管部门管理的国家重点保护野生植物所在地的省、自治区、直辖市人民政府农业行政主管部门批准。</w:t>
            </w:r>
            <w:r w:rsidRPr="00A903A6">
              <w:rPr>
                <w:rFonts w:ascii="Verdana" w:eastAsia="微软雅黑" w:hAnsi="Verdana" w:cs="宋体"/>
                <w:color w:val="000000"/>
                <w:kern w:val="0"/>
                <w:sz w:val="20"/>
                <w:szCs w:val="20"/>
              </w:rPr>
              <w:t>”</w:t>
            </w:r>
          </w:p>
          <w:p w14:paraId="3A534FDF" w14:textId="77777777" w:rsidR="00A903A6" w:rsidRPr="00A903A6" w:rsidRDefault="00A903A6" w:rsidP="00A903A6">
            <w:pPr>
              <w:widowControl/>
              <w:wordWrap w:val="0"/>
              <w:spacing w:before="300" w:after="300" w:line="375" w:lineRule="atLeast"/>
              <w:jc w:val="left"/>
              <w:rPr>
                <w:rFonts w:ascii="Verdana" w:eastAsia="微软雅黑" w:hAnsi="Verdana" w:cs="宋体"/>
                <w:color w:val="000000"/>
                <w:kern w:val="0"/>
                <w:sz w:val="20"/>
                <w:szCs w:val="20"/>
              </w:rPr>
            </w:pPr>
            <w:r w:rsidRPr="00A903A6">
              <w:rPr>
                <w:rFonts w:ascii="Verdana" w:eastAsia="微软雅黑" w:hAnsi="Verdana" w:cs="宋体"/>
                <w:color w:val="000000"/>
                <w:kern w:val="0"/>
                <w:sz w:val="20"/>
                <w:szCs w:val="20"/>
              </w:rPr>
              <w:t xml:space="preserve">　　第二十七条中的</w:t>
            </w:r>
            <w:r w:rsidRPr="00A903A6">
              <w:rPr>
                <w:rFonts w:ascii="Verdana" w:eastAsia="微软雅黑" w:hAnsi="Verdana" w:cs="宋体"/>
                <w:color w:val="000000"/>
                <w:kern w:val="0"/>
                <w:sz w:val="20"/>
                <w:szCs w:val="20"/>
              </w:rPr>
              <w:t>“</w:t>
            </w:r>
            <w:r w:rsidRPr="00A903A6">
              <w:rPr>
                <w:rFonts w:ascii="Verdana" w:eastAsia="微软雅黑" w:hAnsi="Verdana" w:cs="宋体"/>
                <w:color w:val="000000"/>
                <w:kern w:val="0"/>
                <w:sz w:val="20"/>
                <w:szCs w:val="20"/>
              </w:rPr>
              <w:t>或者未经批准对国家重点保护野生植物进行野外考察的</w:t>
            </w:r>
            <w:r w:rsidRPr="00A903A6">
              <w:rPr>
                <w:rFonts w:ascii="Verdana" w:eastAsia="微软雅黑" w:hAnsi="Verdana" w:cs="宋体"/>
                <w:color w:val="000000"/>
                <w:kern w:val="0"/>
                <w:sz w:val="20"/>
                <w:szCs w:val="20"/>
              </w:rPr>
              <w:t>”</w:t>
            </w:r>
            <w:r w:rsidRPr="00A903A6">
              <w:rPr>
                <w:rFonts w:ascii="Verdana" w:eastAsia="微软雅黑" w:hAnsi="Verdana" w:cs="宋体"/>
                <w:color w:val="000000"/>
                <w:kern w:val="0"/>
                <w:sz w:val="20"/>
                <w:szCs w:val="20"/>
              </w:rPr>
              <w:t>修改为</w:t>
            </w:r>
            <w:r w:rsidRPr="00A903A6">
              <w:rPr>
                <w:rFonts w:ascii="Verdana" w:eastAsia="微软雅黑" w:hAnsi="Verdana" w:cs="宋体"/>
                <w:color w:val="000000"/>
                <w:kern w:val="0"/>
                <w:sz w:val="20"/>
                <w:szCs w:val="20"/>
              </w:rPr>
              <w:t>“</w:t>
            </w:r>
            <w:r w:rsidRPr="00A903A6">
              <w:rPr>
                <w:rFonts w:ascii="Verdana" w:eastAsia="微软雅黑" w:hAnsi="Verdana" w:cs="宋体"/>
                <w:color w:val="000000"/>
                <w:kern w:val="0"/>
                <w:sz w:val="20"/>
                <w:szCs w:val="20"/>
              </w:rPr>
              <w:t>或者未经批准对农业行政主管部门管理的国家重点保护野生植物进行野外考察的</w:t>
            </w:r>
            <w:r w:rsidRPr="00A903A6">
              <w:rPr>
                <w:rFonts w:ascii="Verdana" w:eastAsia="微软雅黑" w:hAnsi="Verdana" w:cs="宋体"/>
                <w:color w:val="000000"/>
                <w:kern w:val="0"/>
                <w:sz w:val="20"/>
                <w:szCs w:val="20"/>
              </w:rPr>
              <w:t>”</w:t>
            </w:r>
            <w:r w:rsidRPr="00A903A6">
              <w:rPr>
                <w:rFonts w:ascii="Verdana" w:eastAsia="微软雅黑" w:hAnsi="Verdana" w:cs="宋体"/>
                <w:color w:val="000000"/>
                <w:kern w:val="0"/>
                <w:sz w:val="20"/>
                <w:szCs w:val="20"/>
              </w:rPr>
              <w:t>。</w:t>
            </w:r>
          </w:p>
        </w:tc>
      </w:tr>
    </w:tbl>
    <w:p w14:paraId="155D688E"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color w:val="333333"/>
          <w:kern w:val="0"/>
          <w:szCs w:val="21"/>
        </w:rPr>
      </w:pPr>
      <w:r w:rsidRPr="00A903A6">
        <w:rPr>
          <w:rFonts w:ascii="微软雅黑" w:eastAsia="微软雅黑" w:hAnsi="微软雅黑" w:cs="宋体" w:hint="eastAsia"/>
          <w:color w:val="333333"/>
          <w:kern w:val="0"/>
          <w:szCs w:val="21"/>
        </w:rPr>
        <w:lastRenderedPageBreak/>
        <w:t xml:space="preserve">　　第一章  总则</w:t>
      </w:r>
    </w:p>
    <w:p w14:paraId="3B80BD25"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第一条  为了保护、发展和合理利用野生植物资源，保护生物多样性，维护生态平衡，制定本条例。</w:t>
      </w:r>
    </w:p>
    <w:p w14:paraId="54E4F8B3"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lastRenderedPageBreak/>
        <w:t xml:space="preserve">　　第二条  在中华人民共和国境内从事野生植物的保护、发展和利用活动，必须遵守本条例。</w:t>
      </w:r>
    </w:p>
    <w:p w14:paraId="6F25D712"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本条例所保护的野生植物，是指原生地天然生长的珍贵植物和原生地天然生长并具有重要经济、科学研究、文化价值的濒危、稀有植物。</w:t>
      </w:r>
    </w:p>
    <w:p w14:paraId="19B8CAE6"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药用野生植物和城市园林、自然保护区、风景名胜区内的野生植物的保护，同时适用有关法律、行政法规。</w:t>
      </w:r>
    </w:p>
    <w:p w14:paraId="614C88AF"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第三条  国家对野生植物资源实行加强保护、积极发展、合理利用的方针。</w:t>
      </w:r>
    </w:p>
    <w:p w14:paraId="50248514"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第四条  国家保护依法开发利用和经营管理野生植物资源的单位和个人的合法权益。</w:t>
      </w:r>
    </w:p>
    <w:p w14:paraId="24123280"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第五条  国家鼓励和支持野生植物科学研究、野生植物的就地保护和迁地保护。</w:t>
      </w:r>
    </w:p>
    <w:p w14:paraId="692810FE"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在野生植物资源保护、科学研究、培育利用和宣传教育方面成绩显著的单位和个人，由人民政府给予奖励。</w:t>
      </w:r>
    </w:p>
    <w:p w14:paraId="4120DED4"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第六条  县级以上各级人民政府有关主管部门应当开展保护野生植物的宣传教育，普及野生植物知识，提高公民保护野生植物的意识。</w:t>
      </w:r>
    </w:p>
    <w:p w14:paraId="25113CD7"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第七条  任何单位和个人都有保护野生植物资源的义务，对侵占或者破坏野生植物及其生长环境的行为有权检举和控告。</w:t>
      </w:r>
    </w:p>
    <w:p w14:paraId="2157C512"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第八条  国务院林业行政主管部门主管全国林区内野生植物和林区外珍贵野生树木的监督管理工作。国务院农业行政主管部门主管全国其他野生植物的监督管理工作。</w:t>
      </w:r>
    </w:p>
    <w:p w14:paraId="3F300986"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lastRenderedPageBreak/>
        <w:t xml:space="preserve">　　国务院建设行政部门负责城市园林、风景名胜区内野生植物的监督管理工作。国务院环境保护部门负责对全国野生植物环境保护工作的协调和监督。国务院其他有关部门依照职责分工负责有关的野生植物保护工作。</w:t>
      </w:r>
    </w:p>
    <w:p w14:paraId="30EA262F"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县级以上地方人民政府负责野生植物管理工作的部门及其职责，由省、自治区、直辖市人民政府根据当地具体情况规定。</w:t>
      </w:r>
    </w:p>
    <w:p w14:paraId="21C79E03"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第二章  野生植物保护</w:t>
      </w:r>
    </w:p>
    <w:p w14:paraId="020590C4"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第九条  国家保护野生植物及其生长环境。禁止任何单位和个人非法采集野生植物或者破坏其生长环境。</w:t>
      </w:r>
    </w:p>
    <w:p w14:paraId="2A8F611B"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第十条  野生植物分为国家重点保护野生植物和地方重点保护野生植物。</w:t>
      </w:r>
    </w:p>
    <w:p w14:paraId="598D219A"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国家重点保护野生植物名录，由国务院林业行政主管部门、农业行政主管部门（以下简称国务院野生植物行政主管部门）商国务院环境保护、建设等有关部门制定，报国务院批准公布。</w:t>
      </w:r>
    </w:p>
    <w:p w14:paraId="164EE4CB"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地方重点保护野生植物，是指国家重点保护野生植物以外，由省、自治区、直辖市保护的野生植物。地方重点保护野生植物名录，由省、自治区、直辖市人民政府制定并公布，报国务院备案。</w:t>
      </w:r>
    </w:p>
    <w:p w14:paraId="6BABFD09"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第十一条  在国家重点保护野生植物物种和地方重点保护野生植物物种的天然集中分布区域，应当依照有关法律、行政法规的规定，建立自然保护区；在其他区域，县级以上地方人民政府野生植物行政主管部门和其他有关部门可以根据实际情况建立国家重点保护野生植物和地方重点保护野生植物的保护点或者设立保护标志。</w:t>
      </w:r>
    </w:p>
    <w:p w14:paraId="40173270"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lastRenderedPageBreak/>
        <w:t xml:space="preserve">　　禁止破坏国家重点保护野生植物和地方重点保护野生植物的保护点的保护设施和保护标志。</w:t>
      </w:r>
    </w:p>
    <w:p w14:paraId="54F6C961"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第十二条  野生植物行政主管部门及其他有关部门应当监视、监测环境对国家重点保护野生植物生长和地方重点保护野生植物生长的影响，并采取措施，维护和改善国家重点保护野生植物和地方重点保护野生植物的生长条件。由于环境影响对国家重点保护野生植物和地方重点保护野生植物的生长造成危害时，野生植物行政主管部门应当会同其他有关部门调查并依法处理。</w:t>
      </w:r>
    </w:p>
    <w:p w14:paraId="1A986E26"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第十三条  建设项目对国家重点保护野生植物和地方重点保护野生植物的生长环境产生不利影响的，建设单位提交的环境影响报告书中必须对此</w:t>
      </w:r>
      <w:proofErr w:type="gramStart"/>
      <w:r w:rsidRPr="00A903A6">
        <w:rPr>
          <w:rFonts w:ascii="微软雅黑" w:eastAsia="微软雅黑" w:hAnsi="微软雅黑" w:cs="宋体" w:hint="eastAsia"/>
          <w:color w:val="333333"/>
          <w:kern w:val="0"/>
          <w:szCs w:val="21"/>
        </w:rPr>
        <w:t>作出</w:t>
      </w:r>
      <w:proofErr w:type="gramEnd"/>
      <w:r w:rsidRPr="00A903A6">
        <w:rPr>
          <w:rFonts w:ascii="微软雅黑" w:eastAsia="微软雅黑" w:hAnsi="微软雅黑" w:cs="宋体" w:hint="eastAsia"/>
          <w:color w:val="333333"/>
          <w:kern w:val="0"/>
          <w:szCs w:val="21"/>
        </w:rPr>
        <w:t>评价；环境保护部门在审批环境影响报告书时，应当征求野生植物行政主管部门的意见。</w:t>
      </w:r>
    </w:p>
    <w:p w14:paraId="64C66E76"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第十四条  野生植物行政主管部门和有关单位对生长受到威胁的国家重点保护野生植物和地方重点保护野生植物应当采取拯救措施，保护或者恢复其生长环境，必要时应当建立繁育基地、种质资源</w:t>
      </w:r>
      <w:proofErr w:type="gramStart"/>
      <w:r w:rsidRPr="00A903A6">
        <w:rPr>
          <w:rFonts w:ascii="微软雅黑" w:eastAsia="微软雅黑" w:hAnsi="微软雅黑" w:cs="宋体" w:hint="eastAsia"/>
          <w:color w:val="333333"/>
          <w:kern w:val="0"/>
          <w:szCs w:val="21"/>
        </w:rPr>
        <w:t>库或者</w:t>
      </w:r>
      <w:proofErr w:type="gramEnd"/>
      <w:r w:rsidRPr="00A903A6">
        <w:rPr>
          <w:rFonts w:ascii="微软雅黑" w:eastAsia="微软雅黑" w:hAnsi="微软雅黑" w:cs="宋体" w:hint="eastAsia"/>
          <w:color w:val="333333"/>
          <w:kern w:val="0"/>
          <w:szCs w:val="21"/>
        </w:rPr>
        <w:t>采取迁地保护措施。</w:t>
      </w:r>
    </w:p>
    <w:p w14:paraId="2B8889B9"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第三章  野生植物管理</w:t>
      </w:r>
    </w:p>
    <w:p w14:paraId="3018446B"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第十五条  野生植物行政主管部门应当定期组织国家重点保护野生植物和地方重点保护野生植物资源调查，建立资源档案。</w:t>
      </w:r>
    </w:p>
    <w:p w14:paraId="2E0577EA"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第十六条  禁止采集国家一级保护野生植物。因科学研究、工人培育、文化交流等特殊需要，采集国家一级保护野生植物的，必须经采集地的省、自治区、直辖市人民政府</w:t>
      </w:r>
      <w:r w:rsidRPr="00A903A6">
        <w:rPr>
          <w:rFonts w:ascii="微软雅黑" w:eastAsia="微软雅黑" w:hAnsi="微软雅黑" w:cs="宋体" w:hint="eastAsia"/>
          <w:color w:val="333333"/>
          <w:kern w:val="0"/>
          <w:szCs w:val="21"/>
        </w:rPr>
        <w:lastRenderedPageBreak/>
        <w:t>野生植物行政主管部门签署意见后，向国务院野生植物行政主管部门或者其授权的机构申请采集证。</w:t>
      </w:r>
    </w:p>
    <w:p w14:paraId="22D62AF2"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采集国家二级保护野生植物的，必须经采集地的县级人民政府野生植物行政主管部门签署意见后，向省、自治区、直辖市人民政府野生植物行政主管部门或者其授权的机构申请采集证。</w:t>
      </w:r>
    </w:p>
    <w:p w14:paraId="0D3A3EB7"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采集城市园林或者风景名胜区内的国家一级或者二级保护野生植物的，须先征得城市园林或者风景名胜区管理机构同意，分别依照前两款的规定申请采集证。</w:t>
      </w:r>
    </w:p>
    <w:p w14:paraId="0E8499D2"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采集珍贵野生树木或者林区内、草原上的野生植物的，依照森林法、草原法的规定办理。</w:t>
      </w:r>
    </w:p>
    <w:p w14:paraId="100DCEA1"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野生植物行政主管部门发放采集证后，应当抄送环境保护部门备案。</w:t>
      </w:r>
    </w:p>
    <w:p w14:paraId="7CBCB8F2"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采集证的格式由国务院野生植物行政主管部门制定。</w:t>
      </w:r>
    </w:p>
    <w:p w14:paraId="6F102089"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第十七条  采集国家重点保护野生植物的单位和个人，必须按照采集证规定的种类、数量、地点、期限和方法进行采集。</w:t>
      </w:r>
    </w:p>
    <w:p w14:paraId="58BD1517"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县级人民政府野生植物行政主管部门对在本行政区域内采集国家重点保护野生植物的活动，应当进行监督检查，并及时报告批准采集的野生植物行政主管部门或者其授权的机构。</w:t>
      </w:r>
    </w:p>
    <w:p w14:paraId="68DEEDCB"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第十八条  禁止出售、收购国家一级保护野生植物。</w:t>
      </w:r>
    </w:p>
    <w:p w14:paraId="4B5567CD"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lastRenderedPageBreak/>
        <w:t xml:space="preserve">　　出售、收购国家二级保护野生植物的，必须经省、自治区、直辖市人民政府野生植物行政主管部门或者其授权的机构批准。</w:t>
      </w:r>
    </w:p>
    <w:p w14:paraId="267C0242"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第十九条  野生植物行政主管部门应当对经营利用国家二级保护野生植物的活动进行监督检查。</w:t>
      </w:r>
    </w:p>
    <w:p w14:paraId="7E6F6F32"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第二十条  出口国家重点保护野生植物或者进出口中国参加的国际公约所限制进出口的野生植物的，必须经进出口者所在地的省、自治区、直辖市人民政府野生植物行政主管部门审核，报国务院野生植物行政主管部门批准，并取得国家濒危物种进出口管理机构核发的允许进出口证明书或者标签。海关凭允许进出口证明书或者标签查验放行。国务院野生植物行政主管部门应当将有关野生植物进出口的资料抄送国务院环境保护部门。</w:t>
      </w:r>
    </w:p>
    <w:p w14:paraId="1409CD79"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禁止出口未定名的或者新发现并有重要价值的野生植物。</w:t>
      </w:r>
    </w:p>
    <w:p w14:paraId="571C5B9E"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第二十一条  外国人不得在中国境内采集或者收购国家重点保护野生植物。</w:t>
      </w:r>
    </w:p>
    <w:p w14:paraId="75F3B33B"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外国人在中国境内对国家重点保护野生植物进行野外考察的，必须向国家重点保护野生植物所在地的省、自治区、直辖市人民政府野生植物行政主管部门提出申请，经其审核后，报国务院野生植物行政主管部门或者其授权的机构批准；直接向国务院野生植物行政主管部门提出申请的，国务院野生植物行政主管部门在批准前，应当征求有关省、自治区、直辖市人民政府野生植物行政主管部门的意见。</w:t>
      </w:r>
    </w:p>
    <w:p w14:paraId="212FE1C9"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第二十二条  地方重点保护野生植物的管理办法，由省、自治区、直辖市人民政府制定。</w:t>
      </w:r>
    </w:p>
    <w:p w14:paraId="44F59F88"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第四章  法律责任</w:t>
      </w:r>
    </w:p>
    <w:p w14:paraId="1DF5F123"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lastRenderedPageBreak/>
        <w:t xml:space="preserve">　　第二十三条  未取得采集证或者未按照采集证的规定采集国家重点保护野生植物的，由野生植物行政主管部门没收所采集的野生植物和违法所得，可以并处违法所得10倍以下的罚款；有采集证的，并可以吊销采集证。</w:t>
      </w:r>
    </w:p>
    <w:p w14:paraId="7F307F30"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第二十四条  违反本条例规定，出售、收购国家重点保护野生植物的，由工商行政管理部门或者野生植物行政主管部门按照职责分工没收野生植物和违法所得，可以并处违法所得10倍以下的罚款。</w:t>
      </w:r>
    </w:p>
    <w:p w14:paraId="028C4C7A"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第二十五条  非法进出口野生植物的，由海关依照海关法的规定处罚。</w:t>
      </w:r>
    </w:p>
    <w:p w14:paraId="5B5E977F"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第二十六条  伪造、倒卖、转让采集证、允许进出口证明书或者有关批准文件、标签的，由野生植物行政主管部门或者工商行政管理部门按照职责分工收缴，没收违法所得，可以并处5万元以下的罚款。</w:t>
      </w:r>
    </w:p>
    <w:p w14:paraId="56E6BF4D"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第二十七条  外国人在中国境内采集、收购国家重点保护野生植物，或者未经批准对国家重点保护野生植物进行野外考察的，由野生植物行政主管部门没收所采集、收购的野生植物和考察资料，可以并处5万元以下的罚款。</w:t>
      </w:r>
    </w:p>
    <w:p w14:paraId="6D45C77C"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第二十八条  违反本条例规定，构成犯罪的，依法追究刑事责任。</w:t>
      </w:r>
    </w:p>
    <w:p w14:paraId="2902CA12"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第二十九条  野生植物行政主管部门的工作人员滥用职权、玩忽职守、徇私舞弊，构成犯罪的，依法追究刑事责任；尚不构成犯罪的，依法给予行政处分。</w:t>
      </w:r>
    </w:p>
    <w:p w14:paraId="6B0EEF46"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第三十条  依照本条例规定没收的实物，由</w:t>
      </w:r>
      <w:proofErr w:type="gramStart"/>
      <w:r w:rsidRPr="00A903A6">
        <w:rPr>
          <w:rFonts w:ascii="微软雅黑" w:eastAsia="微软雅黑" w:hAnsi="微软雅黑" w:cs="宋体" w:hint="eastAsia"/>
          <w:color w:val="333333"/>
          <w:kern w:val="0"/>
          <w:szCs w:val="21"/>
        </w:rPr>
        <w:t>作出</w:t>
      </w:r>
      <w:proofErr w:type="gramEnd"/>
      <w:r w:rsidRPr="00A903A6">
        <w:rPr>
          <w:rFonts w:ascii="微软雅黑" w:eastAsia="微软雅黑" w:hAnsi="微软雅黑" w:cs="宋体" w:hint="eastAsia"/>
          <w:color w:val="333333"/>
          <w:kern w:val="0"/>
          <w:szCs w:val="21"/>
        </w:rPr>
        <w:t>没收决定的机关按照国家有关规定处理。</w:t>
      </w:r>
    </w:p>
    <w:p w14:paraId="36FE4F5C"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lastRenderedPageBreak/>
        <w:t xml:space="preserve">　　第五章  附则</w:t>
      </w:r>
    </w:p>
    <w:p w14:paraId="55374ADF"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第三十一条  中华人民共和国缔结或者参加的与保护野生植物有关的国际条约与本条例有不同规定的，适用国际条约的规定；但是，中华人民共和国声明保留的条款除外。</w:t>
      </w:r>
    </w:p>
    <w:p w14:paraId="45402DAB" w14:textId="77777777" w:rsidR="00A903A6" w:rsidRPr="00A903A6" w:rsidRDefault="00A903A6" w:rsidP="00A903A6">
      <w:pPr>
        <w:widowControl/>
        <w:shd w:val="clear" w:color="auto" w:fill="FFFFFF"/>
        <w:wordWrap w:val="0"/>
        <w:spacing w:before="100" w:beforeAutospacing="1" w:after="100" w:afterAutospacing="1" w:line="378" w:lineRule="atLeast"/>
        <w:ind w:firstLine="480"/>
        <w:jc w:val="left"/>
        <w:rPr>
          <w:rFonts w:ascii="微软雅黑" w:eastAsia="微软雅黑" w:hAnsi="微软雅黑" w:cs="宋体" w:hint="eastAsia"/>
          <w:color w:val="333333"/>
          <w:kern w:val="0"/>
          <w:szCs w:val="21"/>
        </w:rPr>
      </w:pPr>
      <w:r w:rsidRPr="00A903A6">
        <w:rPr>
          <w:rFonts w:ascii="微软雅黑" w:eastAsia="微软雅黑" w:hAnsi="微软雅黑" w:cs="宋体" w:hint="eastAsia"/>
          <w:color w:val="333333"/>
          <w:kern w:val="0"/>
          <w:szCs w:val="21"/>
        </w:rPr>
        <w:t xml:space="preserve">　　第三十二条  本条例自1997年1月1日起施行。</w:t>
      </w:r>
    </w:p>
    <w:p w14:paraId="6F842C31" w14:textId="77777777" w:rsidR="00A903A6" w:rsidRPr="00A903A6" w:rsidRDefault="00A903A6">
      <w:pPr>
        <w:rPr>
          <w:rFonts w:hint="eastAsia"/>
        </w:rPr>
      </w:pPr>
    </w:p>
    <w:sectPr w:rsidR="00A903A6" w:rsidRPr="00A90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5BAA"/>
    <w:rsid w:val="00055BAA"/>
    <w:rsid w:val="00A903A6"/>
    <w:rsid w:val="00F64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BFD8"/>
  <w15:chartTrackingRefBased/>
  <w15:docId w15:val="{52D1A5B0-FA25-4DA6-9A71-B1EE3CA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903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3A6"/>
    <w:rPr>
      <w:rFonts w:ascii="宋体" w:eastAsia="宋体" w:hAnsi="宋体" w:cs="宋体"/>
      <w:b/>
      <w:bCs/>
      <w:kern w:val="36"/>
      <w:sz w:val="48"/>
      <w:szCs w:val="48"/>
    </w:rPr>
  </w:style>
  <w:style w:type="character" w:styleId="a3">
    <w:name w:val="Hyperlink"/>
    <w:basedOn w:val="a0"/>
    <w:uiPriority w:val="99"/>
    <w:semiHidden/>
    <w:unhideWhenUsed/>
    <w:rsid w:val="00A903A6"/>
    <w:rPr>
      <w:color w:val="0000FF"/>
      <w:u w:val="single"/>
    </w:rPr>
  </w:style>
  <w:style w:type="paragraph" w:styleId="a4">
    <w:name w:val="Normal (Web)"/>
    <w:basedOn w:val="a"/>
    <w:uiPriority w:val="99"/>
    <w:semiHidden/>
    <w:unhideWhenUsed/>
    <w:rsid w:val="00A903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80619">
      <w:bodyDiv w:val="1"/>
      <w:marLeft w:val="0"/>
      <w:marRight w:val="0"/>
      <w:marTop w:val="0"/>
      <w:marBottom w:val="0"/>
      <w:divBdr>
        <w:top w:val="none" w:sz="0" w:space="0" w:color="auto"/>
        <w:left w:val="none" w:sz="0" w:space="0" w:color="auto"/>
        <w:bottom w:val="none" w:sz="0" w:space="0" w:color="auto"/>
        <w:right w:val="none" w:sz="0" w:space="0" w:color="auto"/>
      </w:divBdr>
      <w:divsChild>
        <w:div w:id="1753699676">
          <w:marLeft w:val="0"/>
          <w:marRight w:val="0"/>
          <w:marTop w:val="0"/>
          <w:marBottom w:val="0"/>
          <w:divBdr>
            <w:top w:val="none" w:sz="0" w:space="0" w:color="auto"/>
            <w:left w:val="none" w:sz="0" w:space="0" w:color="auto"/>
            <w:bottom w:val="none" w:sz="0" w:space="0" w:color="auto"/>
            <w:right w:val="none" w:sz="0" w:space="0" w:color="auto"/>
          </w:divBdr>
        </w:div>
        <w:div w:id="957368974">
          <w:marLeft w:val="0"/>
          <w:marRight w:val="0"/>
          <w:marTop w:val="0"/>
          <w:marBottom w:val="0"/>
          <w:divBdr>
            <w:top w:val="none" w:sz="0" w:space="0" w:color="auto"/>
            <w:left w:val="none" w:sz="0" w:space="0" w:color="auto"/>
            <w:bottom w:val="none" w:sz="0" w:space="0" w:color="auto"/>
            <w:right w:val="none" w:sz="0" w:space="0" w:color="auto"/>
          </w:divBdr>
        </w:div>
        <w:div w:id="1501584138">
          <w:marLeft w:val="0"/>
          <w:marRight w:val="0"/>
          <w:marTop w:val="0"/>
          <w:marBottom w:val="0"/>
          <w:divBdr>
            <w:top w:val="none" w:sz="0" w:space="0" w:color="auto"/>
            <w:left w:val="none" w:sz="0" w:space="0" w:color="auto"/>
            <w:bottom w:val="none" w:sz="0" w:space="0" w:color="auto"/>
            <w:right w:val="none" w:sz="0" w:space="0" w:color="auto"/>
          </w:divBdr>
        </w:div>
        <w:div w:id="1005283320">
          <w:marLeft w:val="0"/>
          <w:marRight w:val="0"/>
          <w:marTop w:val="0"/>
          <w:marBottom w:val="0"/>
          <w:divBdr>
            <w:top w:val="none" w:sz="0" w:space="0" w:color="auto"/>
            <w:left w:val="none" w:sz="0" w:space="0" w:color="auto"/>
            <w:bottom w:val="none" w:sz="0" w:space="0" w:color="auto"/>
            <w:right w:val="none" w:sz="0" w:space="0" w:color="auto"/>
          </w:divBdr>
        </w:div>
        <w:div w:id="1900893972">
          <w:marLeft w:val="0"/>
          <w:marRight w:val="0"/>
          <w:marTop w:val="0"/>
          <w:marBottom w:val="0"/>
          <w:divBdr>
            <w:top w:val="none" w:sz="0" w:space="0" w:color="auto"/>
            <w:left w:val="none" w:sz="0" w:space="0" w:color="auto"/>
            <w:bottom w:val="none" w:sz="0" w:space="0" w:color="auto"/>
            <w:right w:val="none" w:sz="0" w:space="0" w:color="auto"/>
          </w:divBdr>
          <w:divsChild>
            <w:div w:id="9590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law.foodmate.net/rule/1997-01-01.html" TargetMode="External"/><Relationship Id="rId4" Type="http://schemas.openxmlformats.org/officeDocument/2006/relationships/hyperlink" Target="http://law.foodmate.net/rule/pub-1996-09-3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675</Words>
  <Characters>3854</Characters>
  <Application>Microsoft Office Word</Application>
  <DocSecurity>0</DocSecurity>
  <Lines>32</Lines>
  <Paragraphs>9</Paragraphs>
  <ScaleCrop>false</ScaleCrop>
  <Company>微软中国</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洋聪 韦</dc:creator>
  <cp:keywords/>
  <dc:description/>
  <cp:lastModifiedBy>洋聪 韦</cp:lastModifiedBy>
  <cp:revision>2</cp:revision>
  <dcterms:created xsi:type="dcterms:W3CDTF">2022-01-27T01:25:00Z</dcterms:created>
  <dcterms:modified xsi:type="dcterms:W3CDTF">2022-01-27T01:25:00Z</dcterms:modified>
</cp:coreProperties>
</file>