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EA6C" w14:textId="77777777" w:rsidR="00B75F0D" w:rsidRPr="00B75F0D" w:rsidRDefault="00B75F0D" w:rsidP="00B75F0D">
      <w:pPr>
        <w:widowControl/>
        <w:shd w:val="clear" w:color="auto" w:fill="FFFFFF"/>
        <w:spacing w:before="100" w:beforeAutospacing="1" w:after="100" w:afterAutospacing="1"/>
        <w:jc w:val="center"/>
        <w:outlineLvl w:val="0"/>
        <w:rPr>
          <w:rFonts w:ascii="微软雅黑" w:eastAsia="微软雅黑" w:hAnsi="微软雅黑" w:cs="宋体"/>
          <w:b/>
          <w:bCs/>
          <w:color w:val="333333"/>
          <w:kern w:val="36"/>
          <w:sz w:val="36"/>
          <w:szCs w:val="36"/>
        </w:rPr>
      </w:pPr>
      <w:r w:rsidRPr="00B75F0D">
        <w:rPr>
          <w:rFonts w:ascii="font-size:16px;line-height:1.5;" w:eastAsia="微软雅黑" w:hAnsi="font-size:16px;line-height:1.5;" w:cs="宋体"/>
          <w:b/>
          <w:bCs/>
          <w:color w:val="333333"/>
          <w:kern w:val="36"/>
          <w:sz w:val="36"/>
          <w:szCs w:val="36"/>
        </w:rPr>
        <w:t>关于规范食品标签标识类投诉举报案件办理的指导意见（成都市）</w:t>
      </w:r>
    </w:p>
    <w:p w14:paraId="2D441484" w14:textId="77777777" w:rsidR="00B75F0D" w:rsidRPr="00B75F0D" w:rsidRDefault="00B75F0D" w:rsidP="00B75F0D">
      <w:pPr>
        <w:widowControl/>
        <w:shd w:val="clear" w:color="auto" w:fill="FFFFFF"/>
        <w:spacing w:before="100" w:beforeAutospacing="1" w:after="100" w:afterAutospacing="1"/>
        <w:ind w:firstLine="63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近年来</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食品标签标识类问题已成为职业投诉举报的重点和焦点，涉及的标签问题愈发广泛、专业、复杂，各区</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市</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县局因在同类问题上执法尺度和认定标准不一，易导致被动局面。同时，相关投诉举报及由此引起的行政复议、行政诉讼案件大幅增长，滥用投诉举报、信息公开、复议、诉讼等权益的趋势日益严重，造成了行政资源的大量消耗。为积极应对矛盾，进一步规范相关问题认定标准和案件办理流程，制定本指导意见。</w:t>
      </w:r>
    </w:p>
    <w:p w14:paraId="27D3D948"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一、关于食品标签标识类投诉举报案件的办理原则</w:t>
      </w:r>
    </w:p>
    <w:p w14:paraId="05436405"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一</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对食品生产经营者要严格要求。指导督促食品生产经营者切实履行主体责任和法定义务，加强食品标签标识相关标准的学习，加强出厂检验或委托第三方检验。对出现的问题高度重视，及时整改，并依法规范应对职业投诉举报者的索赔诉求。</w:t>
      </w:r>
    </w:p>
    <w:p w14:paraId="0560C486"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二</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对无违法故意的企业要教育为主。监管执法要服务全市产业发展大局，融监管于服务，支持和保护企业生产经营的积极性</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对无主观违法故意的食品生产经营企业要坚持教育为先、处罚在后。对符合《行政处罚法》第二十七条第一款规定的</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应当依法予以从轻或减轻行政处罚；违法行为轻微并及时纠正，没有造成危害后果的，不予行政处罚。</w:t>
      </w:r>
    </w:p>
    <w:p w14:paraId="6C5FFEB3"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lastRenderedPageBreak/>
        <w:t>(</w:t>
      </w:r>
      <w:r w:rsidRPr="00B75F0D">
        <w:rPr>
          <w:rFonts w:ascii="font-size:16px;line-height:1.5;" w:eastAsia="微软雅黑" w:hAnsi="font-size:16px;line-height:1.5;" w:cs="宋体"/>
          <w:color w:val="333333"/>
          <w:kern w:val="0"/>
          <w:sz w:val="27"/>
          <w:szCs w:val="27"/>
        </w:rPr>
        <w:t>三</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对职业投诉举报要科学应对。对食品标签类职业投诉举报中存在的滥用行政资源、强行索取奖励及敲诈勒索企业等情况，行政执法机关不应纵容，而是依法积极主动应对。加强信息沟通和分析总结，大力提高应对技巧和应对能力，提高案件办理质量。</w:t>
      </w:r>
    </w:p>
    <w:p w14:paraId="39BB17CF"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二、关于</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食品生产经营者</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对标签标识的责任认定</w:t>
      </w:r>
    </w:p>
    <w:p w14:paraId="598D2090"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w:t>
      </w:r>
      <w:proofErr w:type="gramStart"/>
      <w:r w:rsidRPr="00B75F0D">
        <w:rPr>
          <w:rFonts w:ascii="font-size:16px;line-height:1.5;" w:eastAsia="微软雅黑" w:hAnsi="font-size:16px;line-height:1.5;" w:cs="宋体"/>
          <w:color w:val="333333"/>
          <w:kern w:val="0"/>
          <w:sz w:val="27"/>
          <w:szCs w:val="27"/>
        </w:rPr>
        <w:t>一</w:t>
      </w:r>
      <w:proofErr w:type="gramEnd"/>
      <w:r w:rsidRPr="00B75F0D">
        <w:rPr>
          <w:rFonts w:ascii="font-size:16px;line-height:1.5;" w:eastAsia="微软雅黑" w:hAnsi="font-size:16px;line-height:1.5;" w:cs="宋体"/>
          <w:color w:val="333333"/>
          <w:kern w:val="0"/>
          <w:sz w:val="27"/>
          <w:szCs w:val="27"/>
        </w:rPr>
        <w:t xml:space="preserve">) </w:t>
      </w:r>
      <w:r w:rsidRPr="00B75F0D">
        <w:rPr>
          <w:rFonts w:ascii="font-size:16px;line-height:1.5;" w:eastAsia="微软雅黑" w:hAnsi="font-size:16px;line-height:1.5;" w:cs="宋体"/>
          <w:color w:val="333333"/>
          <w:kern w:val="0"/>
          <w:sz w:val="27"/>
          <w:szCs w:val="27"/>
        </w:rPr>
        <w:t>主体定义及法律责任。</w:t>
      </w:r>
    </w:p>
    <w:p w14:paraId="16270F47"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1.</w:t>
      </w:r>
      <w:r w:rsidRPr="00B75F0D">
        <w:rPr>
          <w:rFonts w:ascii="font-size:16px;line-height:1.5;" w:eastAsia="微软雅黑" w:hAnsi="font-size:16px;line-height:1.5;" w:cs="宋体"/>
          <w:color w:val="333333"/>
          <w:kern w:val="0"/>
          <w:sz w:val="27"/>
          <w:szCs w:val="27"/>
        </w:rPr>
        <w:t>食品生产者、食品经营者、食品生产经营者定义与关系。根据《食品安全法》第二条第一款第</w:t>
      </w:r>
      <w:r w:rsidRPr="00B75F0D">
        <w:rPr>
          <w:rFonts w:ascii="font-size:16px;line-height:1.5;" w:eastAsia="微软雅黑" w:hAnsi="font-size:16px;line-height:1.5;" w:cs="宋体"/>
          <w:color w:val="333333"/>
          <w:kern w:val="0"/>
          <w:sz w:val="27"/>
          <w:szCs w:val="27"/>
        </w:rPr>
        <w:t>(</w:t>
      </w:r>
      <w:proofErr w:type="gramStart"/>
      <w:r w:rsidRPr="00B75F0D">
        <w:rPr>
          <w:rFonts w:ascii="font-size:16px;line-height:1.5;" w:eastAsia="微软雅黑" w:hAnsi="font-size:16px;line-height:1.5;" w:cs="宋体"/>
          <w:color w:val="333333"/>
          <w:kern w:val="0"/>
          <w:sz w:val="27"/>
          <w:szCs w:val="27"/>
        </w:rPr>
        <w:t>一</w:t>
      </w:r>
      <w:proofErr w:type="gramEnd"/>
      <w:r w:rsidRPr="00B75F0D">
        <w:rPr>
          <w:rFonts w:ascii="font-size:16px;line-height:1.5;" w:eastAsia="微软雅黑" w:hAnsi="font-size:16px;line-height:1.5;" w:cs="宋体"/>
          <w:color w:val="333333"/>
          <w:kern w:val="0"/>
          <w:sz w:val="27"/>
          <w:szCs w:val="27"/>
        </w:rPr>
        <w:t xml:space="preserve">) </w:t>
      </w:r>
      <w:r w:rsidRPr="00B75F0D">
        <w:rPr>
          <w:rFonts w:ascii="font-size:16px;line-height:1.5;" w:eastAsia="微软雅黑" w:hAnsi="font-size:16px;line-height:1.5;" w:cs="宋体"/>
          <w:color w:val="333333"/>
          <w:kern w:val="0"/>
          <w:sz w:val="27"/>
          <w:szCs w:val="27"/>
        </w:rPr>
        <w:t>项规定</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食品生产者是指从事食品生产和加工的单位、个人或其他组织</w:t>
      </w:r>
      <w:r w:rsidRPr="00B75F0D">
        <w:rPr>
          <w:rFonts w:ascii="font-size:16px;line-height:1.5;" w:eastAsia="微软雅黑" w:hAnsi="font-size:16px;line-height:1.5;" w:cs="宋体"/>
          <w:color w:val="333333"/>
          <w:kern w:val="0"/>
          <w:sz w:val="27"/>
          <w:szCs w:val="27"/>
        </w:rPr>
        <w:t xml:space="preserve">; </w:t>
      </w:r>
      <w:r w:rsidRPr="00B75F0D">
        <w:rPr>
          <w:rFonts w:ascii="font-size:16px;line-height:1.5;" w:eastAsia="微软雅黑" w:hAnsi="font-size:16px;line-height:1.5;" w:cs="宋体"/>
          <w:color w:val="333333"/>
          <w:kern w:val="0"/>
          <w:sz w:val="27"/>
          <w:szCs w:val="27"/>
        </w:rPr>
        <w:t>食品经营者是指从事食品销售和餐饮服务的单位、个人或其他组织。</w:t>
      </w:r>
    </w:p>
    <w:p w14:paraId="7381DDE6"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根据《食品安全法》第三十五条第一款和《食品经营许可管理办法》以及《食品生产许可管理办法》的相关规定，在我国食品生产和食品经营是两个相对独立的概念。食品生产经营者应属于复合概念，包含食品生产者和食品经营者两个概念，指从事食品的生产和加工、食品销售和餐饮服务的一切主体。</w:t>
      </w:r>
    </w:p>
    <w:p w14:paraId="582AA8DB"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2.</w:t>
      </w:r>
      <w:r w:rsidRPr="00B75F0D">
        <w:rPr>
          <w:rFonts w:ascii="font-size:16px;line-height:1.5;" w:eastAsia="微软雅黑" w:hAnsi="font-size:16px;line-height:1.5;" w:cs="宋体"/>
          <w:color w:val="333333"/>
          <w:kern w:val="0"/>
          <w:sz w:val="27"/>
          <w:szCs w:val="27"/>
        </w:rPr>
        <w:t>标签标识主要法律责任对应的法律条款。</w:t>
      </w:r>
    </w:p>
    <w:p w14:paraId="779CAD66"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食品生产者</w:t>
      </w:r>
      <w:r w:rsidRPr="00B75F0D">
        <w:rPr>
          <w:rFonts w:ascii="font-size:16px;line-height:1.5;" w:eastAsia="微软雅黑" w:hAnsi="font-size:16px;line-height:1.5;" w:cs="宋体"/>
          <w:color w:val="333333"/>
          <w:kern w:val="0"/>
          <w:sz w:val="27"/>
          <w:szCs w:val="27"/>
        </w:rPr>
        <w:t xml:space="preserve">: </w:t>
      </w:r>
      <w:r w:rsidRPr="00B75F0D">
        <w:rPr>
          <w:rFonts w:ascii="font-size:16px;line-height:1.5;" w:eastAsia="微软雅黑" w:hAnsi="font-size:16px;line-height:1.5;" w:cs="宋体"/>
          <w:color w:val="333333"/>
          <w:kern w:val="0"/>
          <w:sz w:val="27"/>
          <w:szCs w:val="27"/>
        </w:rPr>
        <w:t>《食品安全法》第四十六、五十、五十一、五十二、六十三条。</w:t>
      </w:r>
    </w:p>
    <w:p w14:paraId="50B52C12"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lastRenderedPageBreak/>
        <w:t>食品经营者</w:t>
      </w:r>
      <w:r w:rsidRPr="00B75F0D">
        <w:rPr>
          <w:rFonts w:ascii="font-size:16px;line-height:1.5;" w:eastAsia="微软雅黑" w:hAnsi="font-size:16px;line-height:1.5;" w:cs="宋体"/>
          <w:color w:val="333333"/>
          <w:kern w:val="0"/>
          <w:sz w:val="27"/>
          <w:szCs w:val="27"/>
        </w:rPr>
        <w:t xml:space="preserve">: </w:t>
      </w:r>
      <w:r w:rsidRPr="00B75F0D">
        <w:rPr>
          <w:rFonts w:ascii="font-size:16px;line-height:1.5;" w:eastAsia="微软雅黑" w:hAnsi="font-size:16px;line-height:1.5;" w:cs="宋体"/>
          <w:color w:val="333333"/>
          <w:kern w:val="0"/>
          <w:sz w:val="27"/>
          <w:szCs w:val="27"/>
        </w:rPr>
        <w:t>《食品安全法》第五十三、五十四、五十七、五十八、六十一、六十二、六十三、六十八、七十二、一百三十六条。</w:t>
      </w:r>
    </w:p>
    <w:p w14:paraId="51689EDB"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食品生产经营者</w:t>
      </w:r>
      <w:r w:rsidRPr="00B75F0D">
        <w:rPr>
          <w:rFonts w:ascii="font-size:16px;line-height:1.5;" w:eastAsia="微软雅黑" w:hAnsi="font-size:16px;line-height:1.5;" w:cs="宋体"/>
          <w:color w:val="333333"/>
          <w:kern w:val="0"/>
          <w:sz w:val="27"/>
          <w:szCs w:val="27"/>
        </w:rPr>
        <w:t xml:space="preserve">: </w:t>
      </w:r>
      <w:r w:rsidRPr="00B75F0D">
        <w:rPr>
          <w:rFonts w:ascii="font-size:16px;line-height:1.5;" w:eastAsia="微软雅黑" w:hAnsi="font-size:16px;line-height:1.5;" w:cs="宋体"/>
          <w:color w:val="333333"/>
          <w:kern w:val="0"/>
          <w:sz w:val="27"/>
          <w:szCs w:val="27"/>
        </w:rPr>
        <w:t>《食品安全法》第三十四条、四十七、四十八、六十三、六十七、七十一、七十三、七十八、九十七、九十八条。</w:t>
      </w:r>
    </w:p>
    <w:p w14:paraId="35A31C1D"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二</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食品生产者、经营者对标签标识的责任区分。</w:t>
      </w:r>
    </w:p>
    <w:p w14:paraId="4D7A553C"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1.</w:t>
      </w:r>
      <w:r w:rsidRPr="00B75F0D">
        <w:rPr>
          <w:rFonts w:ascii="font-size:16px;line-height:1.5;" w:eastAsia="微软雅黑" w:hAnsi="font-size:16px;line-height:1.5;" w:cs="宋体"/>
          <w:color w:val="333333"/>
          <w:kern w:val="0"/>
          <w:sz w:val="27"/>
          <w:szCs w:val="27"/>
        </w:rPr>
        <w:t>对于标签、说明书内容的</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真实性</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，谁</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标注</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谁负责。</w:t>
      </w:r>
    </w:p>
    <w:p w14:paraId="6924AA53"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无论是食品生产者还是食品经营者，只要标签、说明书是其标注的，就应对该标签、说明书内容的真实性负责。《食品安全法》第七十一条第一款规定</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生产经营者对其提供的标签、说明书的内容负责</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，全国人大常委会法制工作委员会对该条的释义中明确了对</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提供的标签、说明书的内容负责</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的主体是标注该标签、说明书的主体。</w:t>
      </w:r>
    </w:p>
    <w:p w14:paraId="3EA70F97"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xml:space="preserve">(1) </w:t>
      </w:r>
      <w:r w:rsidRPr="00B75F0D">
        <w:rPr>
          <w:rFonts w:ascii="font-size:16px;line-height:1.5;" w:eastAsia="微软雅黑" w:hAnsi="font-size:16px;line-height:1.5;" w:cs="宋体"/>
          <w:color w:val="333333"/>
          <w:kern w:val="0"/>
          <w:sz w:val="27"/>
          <w:szCs w:val="27"/>
        </w:rPr>
        <w:t>食品标签、说明书上标有食品的净含量、生产日期、成分或者配料等相关信息，提供标签、说明书的生产经营者应当对其真实性负责。保证内容准确无误，</w:t>
      </w:r>
      <w:proofErr w:type="gramStart"/>
      <w:r w:rsidRPr="00B75F0D">
        <w:rPr>
          <w:rFonts w:ascii="font-size:16px;line-height:1.5;" w:eastAsia="微软雅黑" w:hAnsi="font-size:16px;line-height:1.5;" w:cs="宋体"/>
          <w:color w:val="333333"/>
          <w:kern w:val="0"/>
          <w:sz w:val="27"/>
          <w:szCs w:val="27"/>
        </w:rPr>
        <w:t>不</w:t>
      </w:r>
      <w:proofErr w:type="gramEnd"/>
      <w:r w:rsidRPr="00B75F0D">
        <w:rPr>
          <w:rFonts w:ascii="font-size:16px;line-height:1.5;" w:eastAsia="微软雅黑" w:hAnsi="font-size:16px;line-height:1.5;" w:cs="宋体"/>
          <w:color w:val="333333"/>
          <w:kern w:val="0"/>
          <w:sz w:val="27"/>
          <w:szCs w:val="27"/>
        </w:rPr>
        <w:t>含有虚假内容，不涉及疾病预防、治疗功能。</w:t>
      </w:r>
    </w:p>
    <w:p w14:paraId="2A0DDABD"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xml:space="preserve">(2) </w:t>
      </w:r>
      <w:r w:rsidRPr="00B75F0D">
        <w:rPr>
          <w:rFonts w:ascii="font-size:16px;line-height:1.5;" w:eastAsia="微软雅黑" w:hAnsi="font-size:16px;line-height:1.5;" w:cs="宋体"/>
          <w:color w:val="333333"/>
          <w:kern w:val="0"/>
          <w:sz w:val="27"/>
          <w:szCs w:val="27"/>
        </w:rPr>
        <w:t>生产经营者在食品的标签、说明书上对产品的品质、服务等</w:t>
      </w:r>
      <w:proofErr w:type="gramStart"/>
      <w:r w:rsidRPr="00B75F0D">
        <w:rPr>
          <w:rFonts w:ascii="font-size:16px;line-height:1.5;" w:eastAsia="微软雅黑" w:hAnsi="font-size:16px;line-height:1.5;" w:cs="宋体"/>
          <w:color w:val="333333"/>
          <w:kern w:val="0"/>
          <w:sz w:val="27"/>
          <w:szCs w:val="27"/>
        </w:rPr>
        <w:t>作出</w:t>
      </w:r>
      <w:proofErr w:type="gramEnd"/>
      <w:r w:rsidRPr="00B75F0D">
        <w:rPr>
          <w:rFonts w:ascii="font-size:16px;line-height:1.5;" w:eastAsia="微软雅黑" w:hAnsi="font-size:16px;line-height:1.5;" w:cs="宋体"/>
          <w:color w:val="333333"/>
          <w:kern w:val="0"/>
          <w:sz w:val="27"/>
          <w:szCs w:val="27"/>
        </w:rPr>
        <w:t>保证或者承诺的，应当对这些保证或者承诺负责。</w:t>
      </w:r>
    </w:p>
    <w:p w14:paraId="708D580D"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(3)</w:t>
      </w:r>
      <w:r w:rsidRPr="00B75F0D">
        <w:rPr>
          <w:rFonts w:ascii="font-size:16px;line-height:1.5;" w:eastAsia="微软雅黑" w:hAnsi="font-size:16px;line-height:1.5;" w:cs="宋体"/>
          <w:color w:val="333333"/>
          <w:kern w:val="0"/>
          <w:sz w:val="27"/>
          <w:szCs w:val="27"/>
        </w:rPr>
        <w:t>食品的标签、说明书上所载明的内容如果与事实不符，生产经营者应当承担相应法律责任。</w:t>
      </w:r>
    </w:p>
    <w:p w14:paraId="7977F14A"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lastRenderedPageBreak/>
        <w:t>2.</w:t>
      </w:r>
      <w:r w:rsidRPr="00B75F0D">
        <w:rPr>
          <w:rFonts w:ascii="font-size:16px;line-height:1.5;" w:eastAsia="微软雅黑" w:hAnsi="font-size:16px;line-height:1.5;" w:cs="宋体"/>
          <w:color w:val="333333"/>
          <w:kern w:val="0"/>
          <w:sz w:val="27"/>
          <w:szCs w:val="27"/>
        </w:rPr>
        <w:t>经营的食品标签标识不符合法定要求，食品经营者应承担相应法律责任。根据《食品安全法》第一百二十五条第一款第</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二</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项的规定，食品标签、说明书违反有关法律法规的，即使该标签、说明书不是食品经营者制作的，也应当承担相应法律责任，但食品经营者与食品生产者的法律义务并不等同。食品经营者对食品生产者提供标签标识的食品仅具有形式审查义务</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形式审查义务是指《食品安全法》第五十三条规定的</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进货查验义务</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3.</w:t>
      </w:r>
      <w:r w:rsidRPr="00B75F0D">
        <w:rPr>
          <w:rFonts w:ascii="font-size:16px;line-height:1.5;" w:eastAsia="微软雅黑" w:hAnsi="font-size:16px;line-height:1.5;" w:cs="宋体"/>
          <w:color w:val="333333"/>
          <w:kern w:val="0"/>
          <w:sz w:val="27"/>
          <w:szCs w:val="27"/>
        </w:rPr>
        <w:t>经营食品生产者提供标签标识的食品，满足法定条件的食品经营者可以免予处罚。当食品经营者符合《食品安全法》第</w:t>
      </w:r>
      <w:r w:rsidRPr="00B75F0D">
        <w:rPr>
          <w:rFonts w:ascii="font-size:16px;line-height:1.5;" w:eastAsia="微软雅黑" w:hAnsi="font-size:16px;line-height:1.5;" w:cs="宋体"/>
          <w:color w:val="333333"/>
          <w:kern w:val="0"/>
          <w:sz w:val="27"/>
          <w:szCs w:val="27"/>
        </w:rPr>
        <w:t>-</w:t>
      </w:r>
      <w:proofErr w:type="gramStart"/>
      <w:r w:rsidRPr="00B75F0D">
        <w:rPr>
          <w:rFonts w:ascii="font-size:16px;line-height:1.5;" w:eastAsia="微软雅黑" w:hAnsi="font-size:16px;line-height:1.5;" w:cs="宋体"/>
          <w:color w:val="333333"/>
          <w:kern w:val="0"/>
          <w:sz w:val="27"/>
          <w:szCs w:val="27"/>
        </w:rPr>
        <w:t>百三十六</w:t>
      </w:r>
      <w:proofErr w:type="gramEnd"/>
      <w:r w:rsidRPr="00B75F0D">
        <w:rPr>
          <w:rFonts w:ascii="font-size:16px;line-height:1.5;" w:eastAsia="微软雅黑" w:hAnsi="font-size:16px;line-height:1.5;" w:cs="宋体"/>
          <w:color w:val="333333"/>
          <w:kern w:val="0"/>
          <w:sz w:val="27"/>
          <w:szCs w:val="27"/>
        </w:rPr>
        <w:t>条规定的条件，食药监部门可以对其免予处罚，但应当依法没收其不符合食品安全标准的食品，并依法处理。</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w:t>
      </w:r>
      <w:r w:rsidRPr="00B75F0D">
        <w:rPr>
          <w:rFonts w:ascii="font-size:16px;line-height:1.5;" w:eastAsia="微软雅黑" w:hAnsi="font-size:16px;line-height:1.5;" w:cs="宋体"/>
          <w:color w:val="333333"/>
          <w:kern w:val="0"/>
          <w:sz w:val="27"/>
          <w:szCs w:val="27"/>
        </w:rPr>
        <w:t>三</w:t>
      </w:r>
      <w:r w:rsidRPr="00B75F0D">
        <w:rPr>
          <w:rFonts w:ascii="font-size:16px;line-height:1.5;" w:eastAsia="微软雅黑" w:hAnsi="font-size:16px;line-height:1.5;" w:cs="宋体"/>
          <w:color w:val="333333"/>
          <w:kern w:val="0"/>
          <w:sz w:val="27"/>
          <w:szCs w:val="27"/>
        </w:rPr>
        <w:t>) </w:t>
      </w:r>
      <w:r w:rsidRPr="00B75F0D">
        <w:rPr>
          <w:rFonts w:ascii="font-size:16px;line-height:1.5;" w:eastAsia="微软雅黑" w:hAnsi="font-size:16px;line-height:1.5;" w:cs="宋体"/>
          <w:color w:val="333333"/>
          <w:kern w:val="0"/>
          <w:sz w:val="27"/>
          <w:szCs w:val="27"/>
        </w:rPr>
        <w:t>标签标识类案件办理流程。</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w:t>
      </w:r>
      <w:r w:rsidRPr="00B75F0D">
        <w:rPr>
          <w:rFonts w:ascii="font-size:16px;line-height:1.5;" w:eastAsia="微软雅黑" w:hAnsi="font-size:16px;line-height:1.5;" w:cs="宋体"/>
          <w:color w:val="333333"/>
          <w:kern w:val="0"/>
          <w:sz w:val="27"/>
          <w:szCs w:val="27"/>
        </w:rPr>
        <w:t>各区</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市</w:t>
      </w:r>
      <w:r w:rsidRPr="00B75F0D">
        <w:rPr>
          <w:rFonts w:ascii="font-size:16px;line-height:1.5;" w:eastAsia="微软雅黑" w:hAnsi="font-size:16px;line-height:1.5;" w:cs="宋体"/>
          <w:color w:val="333333"/>
          <w:kern w:val="0"/>
          <w:sz w:val="27"/>
          <w:szCs w:val="27"/>
        </w:rPr>
        <w:t>) </w:t>
      </w:r>
      <w:r w:rsidRPr="00B75F0D">
        <w:rPr>
          <w:rFonts w:ascii="font-size:16px;line-height:1.5;" w:eastAsia="微软雅黑" w:hAnsi="font-size:16px;line-height:1.5;" w:cs="宋体"/>
          <w:color w:val="333333"/>
          <w:kern w:val="0"/>
          <w:sz w:val="27"/>
          <w:szCs w:val="27"/>
        </w:rPr>
        <w:t>县局在办理经营环节食品标签涉嫌违法案件中，应当按照以下流程进行处置</w:t>
      </w:r>
      <w:r w:rsidRPr="00B75F0D">
        <w:rPr>
          <w:rFonts w:ascii="font-size:16px;line-height:1.5;" w:eastAsia="微软雅黑" w:hAnsi="font-size:16px;line-height:1.5;" w:cs="宋体"/>
          <w:color w:val="333333"/>
          <w:kern w:val="0"/>
          <w:sz w:val="27"/>
          <w:szCs w:val="27"/>
        </w:rPr>
        <w:t>:</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1.</w:t>
      </w:r>
      <w:r w:rsidRPr="00B75F0D">
        <w:rPr>
          <w:rFonts w:ascii="font-size:16px;line-height:1.5;" w:eastAsia="微软雅黑" w:hAnsi="font-size:16px;line-height:1.5;" w:cs="宋体"/>
          <w:color w:val="333333"/>
          <w:kern w:val="0"/>
          <w:sz w:val="27"/>
          <w:szCs w:val="27"/>
        </w:rPr>
        <w:t>对案件所涉产品标签合法性进行认定。</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(1)</w:t>
      </w:r>
      <w:r w:rsidRPr="00B75F0D">
        <w:rPr>
          <w:rFonts w:ascii="font-size:16px;line-height:1.5;" w:eastAsia="微软雅黑" w:hAnsi="font-size:16px;line-height:1.5;" w:cs="宋体"/>
          <w:color w:val="333333"/>
          <w:kern w:val="0"/>
          <w:sz w:val="27"/>
          <w:szCs w:val="27"/>
        </w:rPr>
        <w:t>合法。如涉案产品无其他违法问题，且符合结案标准规定的，予以结案。</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(2)</w:t>
      </w:r>
      <w:r w:rsidRPr="00B75F0D">
        <w:rPr>
          <w:rFonts w:ascii="font-size:16px;line-height:1.5;" w:eastAsia="微软雅黑" w:hAnsi="font-size:16px;line-height:1.5;" w:cs="宋体"/>
          <w:color w:val="333333"/>
          <w:kern w:val="0"/>
          <w:sz w:val="27"/>
          <w:szCs w:val="27"/>
        </w:rPr>
        <w:t>瑕疵。根据《食品安全法》第一百二十五条第二款规定进行处置。</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(3)</w:t>
      </w:r>
      <w:r w:rsidRPr="00B75F0D">
        <w:rPr>
          <w:rFonts w:ascii="font-size:16px;line-height:1.5;" w:eastAsia="微软雅黑" w:hAnsi="font-size:16px;line-height:1.5;" w:cs="宋体"/>
          <w:color w:val="333333"/>
          <w:kern w:val="0"/>
          <w:sz w:val="27"/>
          <w:szCs w:val="27"/>
        </w:rPr>
        <w:t>违法。进一步对食品经营者责任进行认定处理。责任分以下两种情形</w:t>
      </w:r>
      <w:r w:rsidRPr="00B75F0D">
        <w:rPr>
          <w:rFonts w:ascii="font-size:16px;line-height:1.5;" w:eastAsia="微软雅黑" w:hAnsi="font-size:16px;line-height:1.5;" w:cs="宋体"/>
          <w:color w:val="333333"/>
          <w:kern w:val="0"/>
          <w:sz w:val="27"/>
          <w:szCs w:val="27"/>
        </w:rPr>
        <w:t>:</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w:t>
      </w:r>
      <w:r w:rsidRPr="00B75F0D">
        <w:rPr>
          <w:rFonts w:ascii="font-size:16px;line-height:1.5;" w:eastAsia="微软雅黑" w:hAnsi="font-size:16px;line-height:1.5;" w:cs="宋体"/>
          <w:color w:val="333333"/>
          <w:kern w:val="0"/>
          <w:sz w:val="27"/>
          <w:szCs w:val="27"/>
        </w:rPr>
        <w:t>一是涉案产品标签是食品经营者标注的</w:t>
      </w:r>
      <w:r w:rsidRPr="00B75F0D">
        <w:rPr>
          <w:rFonts w:ascii="font-size:16px;line-height:1.5;" w:eastAsia="微软雅黑" w:hAnsi="font-size:16px;line-height:1.5;" w:cs="宋体"/>
          <w:color w:val="333333"/>
          <w:kern w:val="0"/>
          <w:sz w:val="27"/>
          <w:szCs w:val="27"/>
        </w:rPr>
        <w:t>,</w:t>
      </w:r>
      <w:proofErr w:type="gramStart"/>
      <w:r w:rsidRPr="00B75F0D">
        <w:rPr>
          <w:rFonts w:ascii="font-size:16px;line-height:1.5;" w:eastAsia="微软雅黑" w:hAnsi="font-size:16px;line-height:1.5;" w:cs="宋体"/>
          <w:color w:val="333333"/>
          <w:kern w:val="0"/>
          <w:sz w:val="27"/>
          <w:szCs w:val="27"/>
        </w:rPr>
        <w:t>则食品</w:t>
      </w:r>
      <w:proofErr w:type="gramEnd"/>
      <w:r w:rsidRPr="00B75F0D">
        <w:rPr>
          <w:rFonts w:ascii="font-size:16px;line-height:1.5;" w:eastAsia="微软雅黑" w:hAnsi="font-size:16px;line-height:1.5;" w:cs="宋体"/>
          <w:color w:val="333333"/>
          <w:kern w:val="0"/>
          <w:sz w:val="27"/>
          <w:szCs w:val="27"/>
        </w:rPr>
        <w:t>经营者应当对其提供的标签内容真实性与合法性负责，不再适用《食品安全法》第一百三十</w:t>
      </w:r>
      <w:r w:rsidRPr="00B75F0D">
        <w:rPr>
          <w:rFonts w:ascii="font-size:16px;line-height:1.5;" w:eastAsia="微软雅黑" w:hAnsi="font-size:16px;line-height:1.5;" w:cs="宋体"/>
          <w:color w:val="333333"/>
          <w:kern w:val="0"/>
          <w:sz w:val="27"/>
          <w:szCs w:val="27"/>
        </w:rPr>
        <w:lastRenderedPageBreak/>
        <w:t>六条的免责规定，应具体情况具体分析，根据《食品安全法》有关规定对食品经营者的违法行为进行认定、处理。</w:t>
      </w:r>
    </w:p>
    <w:p w14:paraId="0970ACC8"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二是涉案产品标签是食品生产者标注的，作如下处理</w:t>
      </w:r>
      <w:r w:rsidRPr="00B75F0D">
        <w:rPr>
          <w:rFonts w:ascii="font-size:16px;line-height:1.5;" w:eastAsia="微软雅黑" w:hAnsi="font-size:16px;line-height:1.5;" w:cs="宋体"/>
          <w:color w:val="333333"/>
          <w:kern w:val="0"/>
          <w:sz w:val="27"/>
          <w:szCs w:val="27"/>
        </w:rPr>
        <w:t>:</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(1)</w:t>
      </w:r>
      <w:r w:rsidRPr="00B75F0D">
        <w:rPr>
          <w:rFonts w:ascii="font-size:16px;line-height:1.5;" w:eastAsia="微软雅黑" w:hAnsi="font-size:16px;line-height:1.5;" w:cs="宋体"/>
          <w:color w:val="333333"/>
          <w:kern w:val="0"/>
          <w:sz w:val="27"/>
          <w:szCs w:val="27"/>
        </w:rPr>
        <w:t>经查，食品经营者符合《食品安全法》第一百三十六条规定情形的，可以免予处罚，但应当依法没收其不符合食品安全标准的食品</w:t>
      </w:r>
      <w:r w:rsidRPr="00B75F0D">
        <w:rPr>
          <w:rFonts w:ascii="font-size:16px;line-height:1.5;" w:eastAsia="微软雅黑" w:hAnsi="font-size:16px;line-height:1.5;" w:cs="宋体"/>
          <w:color w:val="333333"/>
          <w:kern w:val="0"/>
          <w:sz w:val="27"/>
          <w:szCs w:val="27"/>
        </w:rPr>
        <w:t>;</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(2)</w:t>
      </w:r>
      <w:r w:rsidRPr="00B75F0D">
        <w:rPr>
          <w:rFonts w:ascii="font-size:16px;line-height:1.5;" w:eastAsia="微软雅黑" w:hAnsi="font-size:16px;line-height:1.5;" w:cs="宋体"/>
          <w:color w:val="333333"/>
          <w:kern w:val="0"/>
          <w:sz w:val="27"/>
          <w:szCs w:val="27"/>
        </w:rPr>
        <w:t>经查</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食品经营者不符合《食品安全法》第一百三十六条规定情形的，根据《食品安全法》第一百二十五条第一款第</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二</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项规定进行处罚。</w:t>
      </w:r>
    </w:p>
    <w:p w14:paraId="42A122BD"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2.</w:t>
      </w:r>
      <w:r w:rsidRPr="00B75F0D">
        <w:rPr>
          <w:rFonts w:ascii="font-size:16px;line-height:1.5;" w:eastAsia="微软雅黑" w:hAnsi="font-size:16px;line-height:1.5;" w:cs="宋体"/>
          <w:color w:val="333333"/>
          <w:kern w:val="0"/>
          <w:sz w:val="27"/>
          <w:szCs w:val="27"/>
        </w:rPr>
        <w:t>若认定涉案产品标签瑕疵或违法，对涉案产品生产者的处理。</w:t>
      </w:r>
    </w:p>
    <w:p w14:paraId="3ABE7B56"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(1)</w:t>
      </w:r>
      <w:r w:rsidRPr="00B75F0D">
        <w:rPr>
          <w:rFonts w:ascii="font-size:16px;line-height:1.5;" w:eastAsia="微软雅黑" w:hAnsi="font-size:16px;line-height:1.5;" w:cs="宋体"/>
          <w:color w:val="333333"/>
          <w:kern w:val="0"/>
          <w:sz w:val="27"/>
          <w:szCs w:val="27"/>
        </w:rPr>
        <w:t>如涉案产品生产者在本辖区内，标签瑕疵则责令生产者改正，标签违法则对生产者进一步调查处理。</w:t>
      </w:r>
    </w:p>
    <w:p w14:paraId="388E6171"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(2) </w:t>
      </w:r>
      <w:r w:rsidRPr="00B75F0D">
        <w:rPr>
          <w:rFonts w:ascii="font-size:16px;line-height:1.5;" w:eastAsia="微软雅黑" w:hAnsi="font-size:16px;line-height:1.5;" w:cs="宋体"/>
          <w:color w:val="333333"/>
          <w:kern w:val="0"/>
          <w:sz w:val="27"/>
          <w:szCs w:val="27"/>
        </w:rPr>
        <w:t>如涉案产品生产者不在本辖区，应根据《食品安全法》、《食品药品行政处罚程序规定》等关于管辖权的有关规定，立即抄告涉案产品生产者所在地的食药监部门并附相关证据材料。</w:t>
      </w:r>
    </w:p>
    <w:p w14:paraId="493D05AA"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三、关于《食品安全法》第一百三十六条的适用标准</w:t>
      </w:r>
    </w:p>
    <w:p w14:paraId="450F2DE3"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w:t>
      </w:r>
      <w:proofErr w:type="gramStart"/>
      <w:r w:rsidRPr="00B75F0D">
        <w:rPr>
          <w:rFonts w:ascii="font-size:16px;line-height:1.5;" w:eastAsia="微软雅黑" w:hAnsi="font-size:16px;line-height:1.5;" w:cs="宋体"/>
          <w:color w:val="333333"/>
          <w:kern w:val="0"/>
          <w:sz w:val="27"/>
          <w:szCs w:val="27"/>
        </w:rPr>
        <w:t>一</w:t>
      </w:r>
      <w:proofErr w:type="gramEnd"/>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经营者履行了本法规定的进货查验等义务。食品经营者应当履行《食品安全法》第五十三条的规定，第一，应当查验供货者的许可证和食品出厂检验合格证或者其他合格证明。对于食品合格证明，能够提供涉案产品的出厂检验报告、检验检疫证明或者其他检验报告等证明文件均可</w:t>
      </w:r>
      <w:r w:rsidRPr="00B75F0D">
        <w:rPr>
          <w:rFonts w:ascii="font-size:16px;line-height:1.5;" w:eastAsia="微软雅黑" w:hAnsi="font-size:16px;line-height:1.5;" w:cs="宋体"/>
          <w:color w:val="333333"/>
          <w:kern w:val="0"/>
          <w:sz w:val="27"/>
          <w:szCs w:val="27"/>
        </w:rPr>
        <w:t>; </w:t>
      </w:r>
      <w:r w:rsidRPr="00B75F0D">
        <w:rPr>
          <w:rFonts w:ascii="font-size:16px;line-height:1.5;" w:eastAsia="微软雅黑" w:hAnsi="font-size:16px;line-height:1.5;" w:cs="宋体"/>
          <w:color w:val="333333"/>
          <w:kern w:val="0"/>
          <w:sz w:val="27"/>
          <w:szCs w:val="27"/>
        </w:rPr>
        <w:t>第二，食品经营企业除了履行第一规定的查验义务外</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还应当进</w:t>
      </w:r>
      <w:r w:rsidRPr="00B75F0D">
        <w:rPr>
          <w:rFonts w:ascii="font-size:16px;line-height:1.5;" w:eastAsia="微软雅黑" w:hAnsi="font-size:16px;line-height:1.5;" w:cs="宋体"/>
          <w:color w:val="333333"/>
          <w:kern w:val="0"/>
          <w:sz w:val="27"/>
          <w:szCs w:val="27"/>
        </w:rPr>
        <w:lastRenderedPageBreak/>
        <w:t>行食品进货查验记录，如实记录食品的名称、规格、数量、生产日期或者生产批号、保质期、进货日期以及供货者名称、地址、联系方式等内容，并保存相关凭证。记录和凭证保存期限应当符合《食品安全法》第五十条第二款的规定。</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w:t>
      </w:r>
      <w:r w:rsidRPr="00B75F0D">
        <w:rPr>
          <w:rFonts w:ascii="font-size:16px;line-height:1.5;" w:eastAsia="微软雅黑" w:hAnsi="font-size:16px;line-height:1.5;" w:cs="宋体"/>
          <w:color w:val="333333"/>
          <w:kern w:val="0"/>
          <w:sz w:val="27"/>
          <w:szCs w:val="27"/>
        </w:rPr>
        <w:t>二</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经营者有充分证据证明其不知道所采购的食品不符合食品安全标准。</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1.</w:t>
      </w:r>
      <w:r w:rsidRPr="00B75F0D">
        <w:rPr>
          <w:rFonts w:ascii="font-size:16px;line-height:1.5;" w:eastAsia="微软雅黑" w:hAnsi="font-size:16px;line-height:1.5;" w:cs="宋体"/>
          <w:color w:val="333333"/>
          <w:kern w:val="0"/>
          <w:sz w:val="27"/>
          <w:szCs w:val="27"/>
        </w:rPr>
        <w:t>办理原则。经营者承担举证责任，证明</w:t>
      </w:r>
      <w:proofErr w:type="gramStart"/>
      <w:r w:rsidRPr="00B75F0D">
        <w:rPr>
          <w:rFonts w:ascii="font-size:16px;line-height:1.5;" w:eastAsia="微软雅黑" w:hAnsi="font-size:16px;line-height:1.5;" w:cs="宋体"/>
          <w:color w:val="333333"/>
          <w:kern w:val="0"/>
          <w:sz w:val="27"/>
          <w:szCs w:val="27"/>
        </w:rPr>
        <w:t>自已</w:t>
      </w:r>
      <w:proofErr w:type="gramEnd"/>
      <w:r w:rsidRPr="00B75F0D">
        <w:rPr>
          <w:rFonts w:ascii="font-size:16px;line-height:1.5;" w:eastAsia="微软雅黑" w:hAnsi="font-size:16px;line-height:1.5;" w:cs="宋体"/>
          <w:color w:val="333333"/>
          <w:kern w:val="0"/>
          <w:sz w:val="27"/>
          <w:szCs w:val="27"/>
        </w:rPr>
        <w:t>确实不知道所采购的食品不符合食品安全标准。但是，消费者提供相反证据，能够证明经营者知情的，经营者不能</w:t>
      </w:r>
      <w:proofErr w:type="gramStart"/>
      <w:r w:rsidRPr="00B75F0D">
        <w:rPr>
          <w:rFonts w:ascii="font-size:16px;line-height:1.5;" w:eastAsia="微软雅黑" w:hAnsi="font-size:16px;line-height:1.5;" w:cs="宋体"/>
          <w:color w:val="333333"/>
          <w:kern w:val="0"/>
          <w:sz w:val="27"/>
          <w:szCs w:val="27"/>
        </w:rPr>
        <w:t>免子</w:t>
      </w:r>
      <w:proofErr w:type="gramEnd"/>
      <w:r w:rsidRPr="00B75F0D">
        <w:rPr>
          <w:rFonts w:ascii="font-size:16px;line-height:1.5;" w:eastAsia="微软雅黑" w:hAnsi="font-size:16px;line-height:1.5;" w:cs="宋体"/>
          <w:color w:val="333333"/>
          <w:kern w:val="0"/>
          <w:sz w:val="27"/>
          <w:szCs w:val="27"/>
        </w:rPr>
        <w:t>处罚。</w:t>
      </w:r>
    </w:p>
    <w:p w14:paraId="72604337"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2.</w:t>
      </w:r>
      <w:r w:rsidRPr="00B75F0D">
        <w:rPr>
          <w:rFonts w:ascii="font-size:16px;line-height:1.5;" w:eastAsia="微软雅黑" w:hAnsi="font-size:16px;line-height:1.5;" w:cs="宋体"/>
          <w:color w:val="333333"/>
          <w:kern w:val="0"/>
          <w:sz w:val="27"/>
          <w:szCs w:val="27"/>
        </w:rPr>
        <w:t>认定标准。</w:t>
      </w:r>
    </w:p>
    <w:p w14:paraId="71FF8871"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(1)</w:t>
      </w:r>
      <w:r w:rsidRPr="00B75F0D">
        <w:rPr>
          <w:rFonts w:ascii="font-size:16px;line-height:1.5;" w:eastAsia="微软雅黑" w:hAnsi="font-size:16px;line-height:1.5;" w:cs="宋体"/>
          <w:color w:val="333333"/>
          <w:kern w:val="0"/>
          <w:sz w:val="27"/>
          <w:szCs w:val="27"/>
        </w:rPr>
        <w:t>经营者首先需要提供食品的合格证明文件证明其履行了</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进货查验义务</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，其次还需要提供其他证据证明其不知道所采购的食品不符合食品安全标准</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例如食品检验机构的检测合格报告。</w:t>
      </w:r>
    </w:p>
    <w:p w14:paraId="732253CE"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鉴于行政诉讼程序对证据证明力认定的严格要求</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建议各区</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市</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县局指导经营者要求生产者提供食品检验机构专门针对食品标签标识是否符合《预包装食品标签通则》的检验报告，或者含有食品标签标识检验项、检验标准及相应检验结论的检验报告。同时提醒经营者查验所采购食品的标签标识是否与送检标签标识内容一致。</w:t>
      </w:r>
    </w:p>
    <w:p w14:paraId="06F5F050"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(2) </w:t>
      </w:r>
      <w:r w:rsidRPr="00B75F0D">
        <w:rPr>
          <w:rFonts w:ascii="font-size:16px;line-height:1.5;" w:eastAsia="微软雅黑" w:hAnsi="font-size:16px;line-height:1.5;" w:cs="宋体"/>
          <w:color w:val="333333"/>
          <w:kern w:val="0"/>
          <w:sz w:val="27"/>
          <w:szCs w:val="27"/>
        </w:rPr>
        <w:t>食品经营者有下列情况之一的，应认定为</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明知</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所采购的食品不符合食品安全标准</w:t>
      </w:r>
      <w:r w:rsidRPr="00B75F0D">
        <w:rPr>
          <w:rFonts w:ascii="font-size:16px;line-height:1.5;" w:eastAsia="微软雅黑" w:hAnsi="font-size:16px;line-height:1.5;" w:cs="宋体"/>
          <w:color w:val="333333"/>
          <w:kern w:val="0"/>
          <w:sz w:val="27"/>
          <w:szCs w:val="27"/>
        </w:rPr>
        <w:t>:</w:t>
      </w:r>
    </w:p>
    <w:p w14:paraId="2410E4E3"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lastRenderedPageBreak/>
        <w:t>①.</w:t>
      </w:r>
      <w:r w:rsidRPr="00B75F0D">
        <w:rPr>
          <w:rFonts w:ascii="font-size:16px;line-height:1.5;" w:eastAsia="微软雅黑" w:hAnsi="font-size:16px;line-height:1.5;" w:cs="宋体"/>
          <w:color w:val="333333"/>
          <w:kern w:val="0"/>
          <w:sz w:val="27"/>
          <w:szCs w:val="27"/>
        </w:rPr>
        <w:t>预包装食品无食品标签的</w:t>
      </w:r>
      <w:r w:rsidRPr="00B75F0D">
        <w:rPr>
          <w:rFonts w:ascii="font-size:16px;line-height:1.5;" w:eastAsia="微软雅黑" w:hAnsi="font-size:16px;line-height:1.5;" w:cs="宋体"/>
          <w:color w:val="333333"/>
          <w:kern w:val="0"/>
          <w:sz w:val="27"/>
          <w:szCs w:val="27"/>
        </w:rPr>
        <w:t>;</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②.</w:t>
      </w:r>
      <w:r w:rsidRPr="00B75F0D">
        <w:rPr>
          <w:rFonts w:ascii="font-size:16px;line-height:1.5;" w:eastAsia="微软雅黑" w:hAnsi="font-size:16px;line-height:1.5;" w:cs="宋体"/>
          <w:color w:val="333333"/>
          <w:kern w:val="0"/>
          <w:sz w:val="27"/>
          <w:szCs w:val="27"/>
        </w:rPr>
        <w:t>预包装食品缺少《食品安全法》第六十七条第一款第</w:t>
      </w:r>
      <w:r w:rsidRPr="00B75F0D">
        <w:rPr>
          <w:rFonts w:ascii="font-size:16px;line-height:1.5;" w:eastAsia="微软雅黑" w:hAnsi="font-size:16px;line-height:1.5;" w:cs="宋体"/>
          <w:color w:val="333333"/>
          <w:kern w:val="0"/>
          <w:sz w:val="27"/>
          <w:szCs w:val="27"/>
        </w:rPr>
        <w:t>(</w:t>
      </w:r>
      <w:proofErr w:type="gramStart"/>
      <w:r w:rsidRPr="00B75F0D">
        <w:rPr>
          <w:rFonts w:ascii="font-size:16px;line-height:1.5;" w:eastAsia="微软雅黑" w:hAnsi="font-size:16px;line-height:1.5;" w:cs="宋体"/>
          <w:color w:val="333333"/>
          <w:kern w:val="0"/>
          <w:sz w:val="27"/>
          <w:szCs w:val="27"/>
        </w:rPr>
        <w:t>一</w:t>
      </w:r>
      <w:proofErr w:type="gramEnd"/>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到第</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八</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项及第二款规定内容，或者对上述内容未尽到合理审查义务的</w:t>
      </w:r>
      <w:r w:rsidRPr="00B75F0D">
        <w:rPr>
          <w:rFonts w:ascii="font-size:16px;line-height:1.5;" w:eastAsia="微软雅黑" w:hAnsi="font-size:16px;line-height:1.5;" w:cs="宋体"/>
          <w:color w:val="333333"/>
          <w:kern w:val="0"/>
          <w:sz w:val="27"/>
          <w:szCs w:val="27"/>
        </w:rPr>
        <w:t>;</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③.</w:t>
      </w:r>
      <w:r w:rsidRPr="00B75F0D">
        <w:rPr>
          <w:rFonts w:ascii="font-size:16px;line-height:1.5;" w:eastAsia="微软雅黑" w:hAnsi="font-size:16px;line-height:1.5;" w:cs="宋体"/>
          <w:color w:val="333333"/>
          <w:kern w:val="0"/>
          <w:sz w:val="27"/>
          <w:szCs w:val="27"/>
        </w:rPr>
        <w:t>其他明显违反食品安全标准的情形。</w:t>
      </w:r>
    </w:p>
    <w:p w14:paraId="3729984E"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w:t>
      </w:r>
      <w:r w:rsidRPr="00B75F0D">
        <w:rPr>
          <w:rFonts w:ascii="font-size:16px;line-height:1.5;" w:eastAsia="微软雅黑" w:hAnsi="font-size:16px;line-height:1.5;" w:cs="宋体"/>
          <w:color w:val="333333"/>
          <w:kern w:val="0"/>
          <w:sz w:val="27"/>
          <w:szCs w:val="27"/>
        </w:rPr>
        <w:t>三</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经营者能如实说明其进货来源。经营者能够提供供货方名称、地址、联系方式，且查证属实。</w:t>
      </w:r>
    </w:p>
    <w:p w14:paraId="51C4B8E2"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四、关于标签标识典型类别案件的办理建议</w:t>
      </w:r>
    </w:p>
    <w:p w14:paraId="02F59A0F"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w:t>
      </w:r>
      <w:proofErr w:type="gramStart"/>
      <w:r w:rsidRPr="00B75F0D">
        <w:rPr>
          <w:rFonts w:ascii="font-size:16px;line-height:1.5;" w:eastAsia="微软雅黑" w:hAnsi="font-size:16px;line-height:1.5;" w:cs="宋体"/>
          <w:color w:val="333333"/>
          <w:kern w:val="0"/>
          <w:sz w:val="27"/>
          <w:szCs w:val="27"/>
        </w:rPr>
        <w:t>一</w:t>
      </w:r>
      <w:proofErr w:type="gramEnd"/>
      <w:r w:rsidRPr="00B75F0D">
        <w:rPr>
          <w:rFonts w:ascii="font-size:16px;line-height:1.5;" w:eastAsia="微软雅黑" w:hAnsi="font-size:16px;line-height:1.5;" w:cs="宋体"/>
          <w:color w:val="333333"/>
          <w:kern w:val="0"/>
          <w:sz w:val="27"/>
          <w:szCs w:val="27"/>
        </w:rPr>
        <w:t>) </w:t>
      </w:r>
      <w:r w:rsidRPr="00B75F0D">
        <w:rPr>
          <w:rFonts w:ascii="font-size:16px;line-height:1.5;" w:eastAsia="微软雅黑" w:hAnsi="font-size:16px;line-height:1.5;" w:cs="宋体"/>
          <w:color w:val="333333"/>
          <w:kern w:val="0"/>
          <w:sz w:val="27"/>
          <w:szCs w:val="27"/>
        </w:rPr>
        <w:t>关于突出强调类案件。</w:t>
      </w:r>
    </w:p>
    <w:p w14:paraId="2323F0C4"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1.</w:t>
      </w:r>
      <w:r w:rsidRPr="00B75F0D">
        <w:rPr>
          <w:rFonts w:ascii="font-size:16px;line-height:1.5;" w:eastAsia="微软雅黑" w:hAnsi="font-size:16px;line-height:1.5;" w:cs="宋体"/>
          <w:color w:val="333333"/>
          <w:kern w:val="0"/>
          <w:sz w:val="27"/>
          <w:szCs w:val="27"/>
        </w:rPr>
        <w:t>涵盖情形。</w:t>
      </w:r>
    </w:p>
    <w:p w14:paraId="34D85557"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(1)</w:t>
      </w:r>
      <w:r w:rsidRPr="00B75F0D">
        <w:rPr>
          <w:rFonts w:ascii="font-size:16px;line-height:1.5;" w:eastAsia="微软雅黑" w:hAnsi="font-size:16px;line-height:1.5;" w:cs="宋体"/>
          <w:color w:val="333333"/>
          <w:kern w:val="0"/>
          <w:sz w:val="27"/>
          <w:szCs w:val="27"/>
        </w:rPr>
        <w:t>食品标签中特别强调添加或者含有一种或多种有价值、有特性的配料或成分，未在配料中注明该配料或成分的含量</w:t>
      </w:r>
      <w:r w:rsidRPr="00B75F0D">
        <w:rPr>
          <w:rFonts w:ascii="font-size:16px;line-height:1.5;" w:eastAsia="微软雅黑" w:hAnsi="font-size:16px;line-height:1.5;" w:cs="宋体"/>
          <w:color w:val="333333"/>
          <w:kern w:val="0"/>
          <w:sz w:val="27"/>
          <w:szCs w:val="27"/>
        </w:rPr>
        <w:t>;</w:t>
      </w:r>
    </w:p>
    <w:p w14:paraId="6A4EB5AE"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(2)</w:t>
      </w:r>
      <w:r w:rsidRPr="00B75F0D">
        <w:rPr>
          <w:rFonts w:ascii="font-size:16px;line-height:1.5;" w:eastAsia="微软雅黑" w:hAnsi="font-size:16px;line-height:1.5;" w:cs="宋体"/>
          <w:color w:val="333333"/>
          <w:kern w:val="0"/>
          <w:sz w:val="27"/>
          <w:szCs w:val="27"/>
        </w:rPr>
        <w:t>食品标签中强调一种或者多种配料或成分的含量较低或无时，未标示配料或成分在成品中的含量</w:t>
      </w:r>
      <w:r w:rsidRPr="00B75F0D">
        <w:rPr>
          <w:rFonts w:ascii="font-size:16px;line-height:1.5;" w:eastAsia="微软雅黑" w:hAnsi="font-size:16px;line-height:1.5;" w:cs="宋体"/>
          <w:color w:val="333333"/>
          <w:kern w:val="0"/>
          <w:sz w:val="27"/>
          <w:szCs w:val="27"/>
        </w:rPr>
        <w:t>;</w:t>
      </w:r>
    </w:p>
    <w:p w14:paraId="689CD490"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(3)</w:t>
      </w:r>
      <w:r w:rsidRPr="00B75F0D">
        <w:rPr>
          <w:rFonts w:ascii="font-size:16px;line-height:1.5;" w:eastAsia="微软雅黑" w:hAnsi="font-size:16px;line-height:1.5;" w:cs="宋体"/>
          <w:color w:val="333333"/>
          <w:kern w:val="0"/>
          <w:sz w:val="27"/>
          <w:szCs w:val="27"/>
        </w:rPr>
        <w:t>对除能量和核心营养素外的其他营养成分进行营养声称或营养成分功能声称时</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未在营养成分表中标示出该营养成分的含量及其占营养素参考值</w:t>
      </w:r>
      <w:r w:rsidRPr="00B75F0D">
        <w:rPr>
          <w:rFonts w:ascii="font-size:16px;line-height:1.5;" w:eastAsia="微软雅黑" w:hAnsi="font-size:16px;line-height:1.5;" w:cs="宋体"/>
          <w:color w:val="333333"/>
          <w:kern w:val="0"/>
          <w:sz w:val="27"/>
          <w:szCs w:val="27"/>
        </w:rPr>
        <w:t>(NRV) </w:t>
      </w:r>
      <w:r w:rsidRPr="00B75F0D">
        <w:rPr>
          <w:rFonts w:ascii="font-size:16px;line-height:1.5;" w:eastAsia="微软雅黑" w:hAnsi="font-size:16px;line-height:1.5;" w:cs="宋体"/>
          <w:color w:val="333333"/>
          <w:kern w:val="0"/>
          <w:sz w:val="27"/>
          <w:szCs w:val="27"/>
        </w:rPr>
        <w:t>的百分比。</w:t>
      </w:r>
    </w:p>
    <w:p w14:paraId="639377EB" w14:textId="77777777" w:rsidR="00B75F0D" w:rsidRPr="00B75F0D" w:rsidRDefault="00B75F0D" w:rsidP="00B75F0D">
      <w:pPr>
        <w:widowControl/>
        <w:shd w:val="clear" w:color="auto" w:fill="FFFFFF"/>
        <w:spacing w:before="100" w:beforeAutospacing="1" w:after="100" w:afterAutospacing="1"/>
        <w:ind w:firstLine="63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2.</w:t>
      </w:r>
      <w:r w:rsidRPr="00B75F0D">
        <w:rPr>
          <w:rFonts w:ascii="font-size:16px;line-height:1.5;" w:eastAsia="微软雅黑" w:hAnsi="font-size:16px;line-height:1.5;" w:cs="宋体"/>
          <w:color w:val="333333"/>
          <w:kern w:val="0"/>
          <w:sz w:val="27"/>
          <w:szCs w:val="27"/>
        </w:rPr>
        <w:t>目前投诉较多的产品。</w:t>
      </w:r>
    </w:p>
    <w:p w14:paraId="2B6C69E2"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lastRenderedPageBreak/>
        <w:t> (1) </w:t>
      </w:r>
      <w:r w:rsidRPr="00B75F0D">
        <w:rPr>
          <w:rFonts w:ascii="font-size:16px;line-height:1.5;" w:eastAsia="微软雅黑" w:hAnsi="font-size:16px;line-height:1.5;" w:cs="宋体"/>
          <w:color w:val="333333"/>
          <w:kern w:val="0"/>
          <w:sz w:val="27"/>
          <w:szCs w:val="27"/>
        </w:rPr>
        <w:t>橄榄油、</w:t>
      </w:r>
      <w:proofErr w:type="gramStart"/>
      <w:r w:rsidRPr="00B75F0D">
        <w:rPr>
          <w:rFonts w:ascii="font-size:16px;line-height:1.5;" w:eastAsia="微软雅黑" w:hAnsi="font-size:16px;line-height:1.5;" w:cs="宋体"/>
          <w:color w:val="333333"/>
          <w:kern w:val="0"/>
          <w:sz w:val="27"/>
          <w:szCs w:val="27"/>
        </w:rPr>
        <w:t>芥</w:t>
      </w:r>
      <w:proofErr w:type="gramEnd"/>
      <w:r w:rsidRPr="00B75F0D">
        <w:rPr>
          <w:rFonts w:ascii="font-size:16px;line-height:1.5;" w:eastAsia="微软雅黑" w:hAnsi="font-size:16px;line-height:1.5;" w:cs="宋体"/>
          <w:color w:val="333333"/>
          <w:kern w:val="0"/>
          <w:sz w:val="27"/>
          <w:szCs w:val="27"/>
        </w:rPr>
        <w:t>花油等油脂类产品</w:t>
      </w:r>
      <w:r w:rsidRPr="00B75F0D">
        <w:rPr>
          <w:rFonts w:ascii="font-size:16px;line-height:1.5;" w:eastAsia="微软雅黑" w:hAnsi="font-size:16px;line-height:1.5;" w:cs="宋体"/>
          <w:color w:val="333333"/>
          <w:kern w:val="0"/>
          <w:sz w:val="27"/>
          <w:szCs w:val="27"/>
        </w:rPr>
        <w:t>;</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(2) </w:t>
      </w:r>
      <w:r w:rsidRPr="00B75F0D">
        <w:rPr>
          <w:rFonts w:ascii="font-size:16px;line-height:1.5;" w:eastAsia="微软雅黑" w:hAnsi="font-size:16px;line-height:1.5;" w:cs="宋体"/>
          <w:color w:val="333333"/>
          <w:kern w:val="0"/>
          <w:sz w:val="27"/>
          <w:szCs w:val="27"/>
        </w:rPr>
        <w:t>燕窝、阿胶、鱼翅、人参等具有特殊功效的名贵食材。</w:t>
      </w:r>
    </w:p>
    <w:p w14:paraId="7926D213"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3.</w:t>
      </w:r>
      <w:r w:rsidRPr="00B75F0D">
        <w:rPr>
          <w:rFonts w:ascii="font-size:16px;line-height:1.5;" w:eastAsia="微软雅黑" w:hAnsi="font-size:16px;line-height:1.5;" w:cs="宋体"/>
          <w:color w:val="333333"/>
          <w:kern w:val="0"/>
          <w:sz w:val="27"/>
          <w:szCs w:val="27"/>
        </w:rPr>
        <w:t>处理原则。</w:t>
      </w:r>
    </w:p>
    <w:p w14:paraId="61560DF9"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w:t>
      </w:r>
      <w:r w:rsidRPr="00B75F0D">
        <w:rPr>
          <w:rFonts w:ascii="font-size:16px;line-height:1.5;" w:eastAsia="微软雅黑" w:hAnsi="font-size:16px;line-height:1.5;" w:cs="宋体"/>
          <w:color w:val="333333"/>
          <w:kern w:val="0"/>
          <w:sz w:val="27"/>
          <w:szCs w:val="27"/>
        </w:rPr>
        <w:t>因各区</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市</w:t>
      </w:r>
      <w:r w:rsidRPr="00B75F0D">
        <w:rPr>
          <w:rFonts w:ascii="font-size:16px;line-height:1.5;" w:eastAsia="微软雅黑" w:hAnsi="font-size:16px;line-height:1.5;" w:cs="宋体"/>
          <w:color w:val="333333"/>
          <w:kern w:val="0"/>
          <w:sz w:val="27"/>
          <w:szCs w:val="27"/>
        </w:rPr>
        <w:t>) </w:t>
      </w:r>
      <w:r w:rsidRPr="00B75F0D">
        <w:rPr>
          <w:rFonts w:ascii="font-size:16px;line-height:1.5;" w:eastAsia="微软雅黑" w:hAnsi="font-size:16px;line-height:1.5;" w:cs="宋体"/>
          <w:color w:val="333333"/>
          <w:kern w:val="0"/>
          <w:sz w:val="27"/>
          <w:szCs w:val="27"/>
        </w:rPr>
        <w:t>县局在本类案件中的第</w:t>
      </w:r>
      <w:r w:rsidRPr="00B75F0D">
        <w:rPr>
          <w:rFonts w:ascii="font-size:16px;line-height:1.5;" w:eastAsia="微软雅黑" w:hAnsi="font-size:16px;line-height:1.5;" w:cs="宋体"/>
          <w:color w:val="333333"/>
          <w:kern w:val="0"/>
          <w:sz w:val="27"/>
          <w:szCs w:val="27"/>
        </w:rPr>
        <w:t>(1)</w:t>
      </w:r>
      <w:r w:rsidRPr="00B75F0D">
        <w:rPr>
          <w:rFonts w:ascii="font-size:16px;line-height:1.5;" w:eastAsia="微软雅黑" w:hAnsi="font-size:16px;line-height:1.5;" w:cs="宋体"/>
          <w:color w:val="333333"/>
          <w:kern w:val="0"/>
          <w:sz w:val="27"/>
          <w:szCs w:val="27"/>
        </w:rPr>
        <w:t>类</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特别强调有价值、有特性</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类案件的认定和处理上存在较多分歧，现就该类案件的处理原则进行说明。</w:t>
      </w:r>
    </w:p>
    <w:p w14:paraId="3D62F907"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(1)</w:t>
      </w:r>
      <w:r w:rsidRPr="00B75F0D">
        <w:rPr>
          <w:rFonts w:ascii="font-size:16px;line-height:1.5;" w:eastAsia="微软雅黑" w:hAnsi="font-size:16px;line-height:1.5;" w:cs="宋体"/>
          <w:color w:val="333333"/>
          <w:kern w:val="0"/>
          <w:sz w:val="27"/>
          <w:szCs w:val="27"/>
        </w:rPr>
        <w:t>前提条件。</w:t>
      </w:r>
    </w:p>
    <w:p w14:paraId="18F846C8"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一是</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特别强调</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内容的载体为食品标签或者食品说明书；</w:t>
      </w:r>
    </w:p>
    <w:p w14:paraId="07C013D7"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二是</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特别强调</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指向的对象为一种或多种配料或成分；</w:t>
      </w:r>
    </w:p>
    <w:p w14:paraId="6EC5E6E2"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三是</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特别强调</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内容的特征为有价值、有特性的。</w:t>
      </w:r>
    </w:p>
    <w:p w14:paraId="39376CC1"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(2) </w:t>
      </w:r>
      <w:r w:rsidRPr="00B75F0D">
        <w:rPr>
          <w:rFonts w:ascii="font-size:16px;line-height:1.5;" w:eastAsia="微软雅黑" w:hAnsi="font-size:16px;line-height:1.5;" w:cs="宋体"/>
          <w:color w:val="333333"/>
          <w:kern w:val="0"/>
          <w:sz w:val="27"/>
          <w:szCs w:val="27"/>
        </w:rPr>
        <w:t>构成要件。</w:t>
      </w:r>
    </w:p>
    <w:p w14:paraId="1E53FD4F"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无论生产经营者采取何种方式进行标注，</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特别强调</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的直接目的是强化消费者对该配料或成分的认知，最终突出该配料在产品属性中的特殊功能、价值或特性。判断食品标签或者说明书是否属于</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特别强调</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，可以结合以下要件进行综合认定。</w:t>
      </w:r>
    </w:p>
    <w:p w14:paraId="17298755" w14:textId="77777777" w:rsidR="00B75F0D" w:rsidRPr="00B75F0D" w:rsidRDefault="00B75F0D" w:rsidP="00B75F0D">
      <w:pPr>
        <w:widowControl/>
        <w:shd w:val="clear" w:color="auto" w:fill="FFFFFF"/>
        <w:spacing w:before="100" w:beforeAutospacing="1" w:after="100" w:afterAutospacing="1"/>
        <w:ind w:hanging="36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① </w:t>
      </w:r>
      <w:r w:rsidRPr="00B75F0D">
        <w:rPr>
          <w:rFonts w:ascii="font-size:16px;line-height:1.5;" w:eastAsia="微软雅黑" w:hAnsi="font-size:16px;line-height:1.5;" w:cs="宋体"/>
          <w:color w:val="333333"/>
          <w:kern w:val="0"/>
          <w:sz w:val="27"/>
          <w:szCs w:val="27"/>
        </w:rPr>
        <w:t>被强调对象属于</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有价值、有特性</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w:t>
      </w:r>
    </w:p>
    <w:p w14:paraId="2F39943B"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该要件的判定可以就产品标签提及的一种或多种配料或成分在一般费者的消费观念中是否属于高于一般食品营养或者具有其他特殊价值</w:t>
      </w:r>
      <w:r w:rsidRPr="00B75F0D">
        <w:rPr>
          <w:rFonts w:ascii="font-size:16px;line-height:1.5;" w:eastAsia="微软雅黑" w:hAnsi="font-size:16px;line-height:1.5;" w:cs="宋体"/>
          <w:color w:val="333333"/>
          <w:kern w:val="0"/>
          <w:sz w:val="27"/>
          <w:szCs w:val="27"/>
        </w:rPr>
        <w:lastRenderedPageBreak/>
        <w:t>的食品，综合该配料或成分在一般消费市场中的价格、特性、历史传统等因素进行综合评判。</w:t>
      </w:r>
    </w:p>
    <w:p w14:paraId="4EF878CB" w14:textId="77777777" w:rsidR="00B75F0D" w:rsidRPr="00B75F0D" w:rsidRDefault="00B75F0D" w:rsidP="00B75F0D">
      <w:pPr>
        <w:widowControl/>
        <w:shd w:val="clear" w:color="auto" w:fill="FFFFFF"/>
        <w:spacing w:before="100" w:beforeAutospacing="1" w:after="100" w:afterAutospacing="1"/>
        <w:ind w:hanging="36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② </w:t>
      </w:r>
      <w:r w:rsidRPr="00B75F0D">
        <w:rPr>
          <w:rFonts w:ascii="font-size:16px;line-height:1.5;" w:eastAsia="微软雅黑" w:hAnsi="font-size:16px;line-height:1.5;" w:cs="宋体"/>
          <w:color w:val="333333"/>
          <w:kern w:val="0"/>
          <w:sz w:val="27"/>
          <w:szCs w:val="27"/>
        </w:rPr>
        <w:t>数量。</w:t>
      </w:r>
    </w:p>
    <w:p w14:paraId="2D3EEA06"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w:t>
      </w:r>
      <w:r w:rsidRPr="00B75F0D">
        <w:rPr>
          <w:rFonts w:ascii="font-size:16px;line-height:1.5;" w:eastAsia="微软雅黑" w:hAnsi="font-size:16px;line-height:1.5;" w:cs="宋体"/>
          <w:color w:val="333333"/>
          <w:kern w:val="0"/>
          <w:sz w:val="27"/>
          <w:szCs w:val="27"/>
        </w:rPr>
        <w:t>同一内容反复出现或多个内容都指向同一事物</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的数量评价标准建议为两次以上</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含两次</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w:t>
      </w:r>
    </w:p>
    <w:p w14:paraId="61A4BFB2"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③</w:t>
      </w:r>
      <w:r w:rsidRPr="00B75F0D">
        <w:rPr>
          <w:rFonts w:ascii="font-size:16px;line-height:1.5;" w:eastAsia="微软雅黑" w:hAnsi="font-size:16px;line-height:1.5;" w:cs="宋体"/>
          <w:color w:val="333333"/>
          <w:kern w:val="0"/>
          <w:sz w:val="27"/>
          <w:szCs w:val="27"/>
        </w:rPr>
        <w:t>方式特征。</w:t>
      </w:r>
    </w:p>
    <w:p w14:paraId="085AEF80"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A.</w:t>
      </w:r>
      <w:r w:rsidRPr="00B75F0D">
        <w:rPr>
          <w:rFonts w:ascii="font-size:16px;line-height:1.5;" w:eastAsia="微软雅黑" w:hAnsi="font-size:16px;line-height:1.5;" w:cs="宋体"/>
          <w:color w:val="333333"/>
          <w:kern w:val="0"/>
          <w:sz w:val="27"/>
          <w:szCs w:val="27"/>
        </w:rPr>
        <w:t>对强调的对象名称是否使用明显不同于标签中其他文字的字体、字号或者区分颜色；</w:t>
      </w:r>
    </w:p>
    <w:p w14:paraId="23A2C131"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B.</w:t>
      </w:r>
      <w:r w:rsidRPr="00B75F0D">
        <w:rPr>
          <w:rFonts w:ascii="font-size:16px;line-height:1.5;" w:eastAsia="微软雅黑" w:hAnsi="font-size:16px;line-height:1.5;" w:cs="宋体"/>
          <w:color w:val="333333"/>
          <w:kern w:val="0"/>
          <w:sz w:val="27"/>
          <w:szCs w:val="27"/>
        </w:rPr>
        <w:t>是否大量使用代表强调对象的图形或者强调对象的图形明显有别于其他图形；</w:t>
      </w:r>
    </w:p>
    <w:p w14:paraId="35DA376A"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C.</w:t>
      </w:r>
      <w:r w:rsidRPr="00B75F0D">
        <w:rPr>
          <w:rFonts w:ascii="font-size:16px;line-height:1.5;" w:eastAsia="微软雅黑" w:hAnsi="font-size:16px;line-height:1.5;" w:cs="宋体"/>
          <w:color w:val="333333"/>
          <w:kern w:val="0"/>
          <w:sz w:val="27"/>
          <w:szCs w:val="27"/>
        </w:rPr>
        <w:t>是否在排版上优先排列所强调的对象的名称或文字说明；</w:t>
      </w:r>
    </w:p>
    <w:p w14:paraId="0F8CA358"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proofErr w:type="gramStart"/>
      <w:r w:rsidRPr="00B75F0D">
        <w:rPr>
          <w:rFonts w:ascii="font-size:16px;line-height:1.5;" w:eastAsia="微软雅黑" w:hAnsi="font-size:16px;line-height:1.5;" w:cs="宋体"/>
          <w:color w:val="333333"/>
          <w:kern w:val="0"/>
          <w:sz w:val="27"/>
          <w:szCs w:val="27"/>
        </w:rPr>
        <w:t>D.“</w:t>
      </w:r>
      <w:proofErr w:type="gramEnd"/>
      <w:r w:rsidRPr="00B75F0D">
        <w:rPr>
          <w:rFonts w:ascii="font-size:16px;line-height:1.5;" w:eastAsia="微软雅黑" w:hAnsi="font-size:16px;line-height:1.5;" w:cs="宋体"/>
          <w:color w:val="333333"/>
          <w:kern w:val="0"/>
          <w:sz w:val="27"/>
          <w:szCs w:val="27"/>
        </w:rPr>
        <w:t>文字说明</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内容是否着重突出或者夸大了强调对象的功能、特性和价值且明显有别于其他，如高于一般食品营养或具有某种特殊的功效等</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注</w:t>
      </w:r>
      <w:r w:rsidRPr="00B75F0D">
        <w:rPr>
          <w:rFonts w:ascii="font-size:16px;line-height:1.5;" w:eastAsia="微软雅黑" w:hAnsi="font-size:16px;line-height:1.5;" w:cs="宋体"/>
          <w:color w:val="333333"/>
          <w:kern w:val="0"/>
          <w:sz w:val="27"/>
          <w:szCs w:val="27"/>
        </w:rPr>
        <w:t>: </w:t>
      </w:r>
      <w:r w:rsidRPr="00B75F0D">
        <w:rPr>
          <w:rFonts w:ascii="font-size:16px;line-height:1.5;" w:eastAsia="微软雅黑" w:hAnsi="font-size:16px;line-height:1.5;" w:cs="宋体"/>
          <w:color w:val="333333"/>
          <w:kern w:val="0"/>
          <w:sz w:val="27"/>
          <w:szCs w:val="27"/>
        </w:rPr>
        <w:t>此处可根据构成要件第</w:t>
      </w:r>
      <w:r w:rsidRPr="00B75F0D">
        <w:rPr>
          <w:rFonts w:ascii="font-size:16px;line-height:1.5;" w:eastAsia="微软雅黑" w:hAnsi="font-size:16px;line-height:1.5;" w:cs="宋体"/>
          <w:color w:val="333333"/>
          <w:kern w:val="0"/>
          <w:sz w:val="27"/>
          <w:szCs w:val="27"/>
        </w:rPr>
        <w:t>①</w:t>
      </w:r>
      <w:r w:rsidRPr="00B75F0D">
        <w:rPr>
          <w:rFonts w:ascii="font-size:16px;line-height:1.5;" w:eastAsia="微软雅黑" w:hAnsi="font-size:16px;line-height:1.5;" w:cs="宋体"/>
          <w:color w:val="333333"/>
          <w:kern w:val="0"/>
          <w:sz w:val="27"/>
          <w:szCs w:val="27"/>
        </w:rPr>
        <w:t>点进行综合判断</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w:t>
      </w:r>
    </w:p>
    <w:p w14:paraId="21632589"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(3) </w:t>
      </w:r>
      <w:r w:rsidRPr="00B75F0D">
        <w:rPr>
          <w:rFonts w:ascii="font-size:16px;line-height:1.5;" w:eastAsia="微软雅黑" w:hAnsi="font-size:16px;line-height:1.5;" w:cs="宋体"/>
          <w:color w:val="333333"/>
          <w:kern w:val="0"/>
          <w:sz w:val="27"/>
          <w:szCs w:val="27"/>
        </w:rPr>
        <w:t>注意事项。</w:t>
      </w:r>
    </w:p>
    <w:p w14:paraId="73A3C5F1"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①</w:t>
      </w:r>
      <w:r w:rsidRPr="00B75F0D">
        <w:rPr>
          <w:rFonts w:ascii="font-size:16px;line-height:1.5;" w:eastAsia="微软雅黑" w:hAnsi="font-size:16px;line-height:1.5;" w:cs="宋体"/>
          <w:color w:val="333333"/>
          <w:kern w:val="0"/>
          <w:sz w:val="27"/>
          <w:szCs w:val="27"/>
        </w:rPr>
        <w:t>产品名称是产品属性的高度概括</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若产品名称中含有一种或多种</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有价值、有特性</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的配料或成分的名称，且该配料或成分名称未采用特殊排版、字体的情形下，不宜将在名称中出现的配料或成分名称作为认</w:t>
      </w:r>
      <w:r w:rsidRPr="00B75F0D">
        <w:rPr>
          <w:rFonts w:ascii="font-size:16px;line-height:1.5;" w:eastAsia="微软雅黑" w:hAnsi="font-size:16px;line-height:1.5;" w:cs="宋体"/>
          <w:color w:val="333333"/>
          <w:kern w:val="0"/>
          <w:sz w:val="27"/>
          <w:szCs w:val="27"/>
        </w:rPr>
        <w:lastRenderedPageBreak/>
        <w:t>定</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特别强调</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的计算基数。产品配料亦如此，产品配料属于应当强制标示的内容</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特殊情况除外</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其</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反映了产品的基本成分，故对于产品中所含的一种或多种</w:t>
      </w:r>
      <w:proofErr w:type="gramStart"/>
      <w:r w:rsidRPr="00B75F0D">
        <w:rPr>
          <w:rFonts w:ascii="font-size:16px;line-height:1.5;" w:eastAsia="微软雅黑" w:hAnsi="font-size:16px;line-height:1.5;" w:cs="宋体"/>
          <w:color w:val="333333"/>
          <w:kern w:val="0"/>
          <w:sz w:val="27"/>
          <w:szCs w:val="27"/>
        </w:rPr>
        <w:t>“</w:t>
      </w:r>
      <w:proofErr w:type="gramEnd"/>
      <w:r w:rsidRPr="00B75F0D">
        <w:rPr>
          <w:rFonts w:ascii="font-size:16px;line-height:1.5;" w:eastAsia="微软雅黑" w:hAnsi="font-size:16px;line-height:1.5;" w:cs="宋体"/>
          <w:color w:val="333333"/>
          <w:kern w:val="0"/>
          <w:sz w:val="27"/>
          <w:szCs w:val="27"/>
        </w:rPr>
        <w:t>有价值、有特性的配料，在未采用特殊排版、字体的情形下，不宜将配料表中出现的配料名称作为认定</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特别强调</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的计算基数。</w:t>
      </w:r>
    </w:p>
    <w:p w14:paraId="6CEDB233"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②</w:t>
      </w:r>
      <w:r w:rsidRPr="00B75F0D">
        <w:rPr>
          <w:rFonts w:ascii="font-size:16px;line-height:1.5;" w:eastAsia="微软雅黑" w:hAnsi="font-size:16px;line-height:1.5;" w:cs="宋体"/>
          <w:color w:val="333333"/>
          <w:kern w:val="0"/>
          <w:sz w:val="27"/>
          <w:szCs w:val="27"/>
        </w:rPr>
        <w:t>文字说明如仅是注明产品含有一种或多种</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有价值、有特性</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的配料或成分，而未对该配料或成分的功能、价值或特性做具体介绍的，不宜将该文字描述中出现的配料名称作为认定</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特别强调</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的计算基数。</w:t>
      </w:r>
    </w:p>
    <w:p w14:paraId="75DA2DE8"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③</w:t>
      </w:r>
      <w:r w:rsidRPr="00B75F0D">
        <w:rPr>
          <w:rFonts w:ascii="font-size:16px;line-height:1.5;" w:eastAsia="微软雅黑" w:hAnsi="font-size:16px;line-height:1.5;" w:cs="宋体"/>
          <w:color w:val="333333"/>
          <w:kern w:val="0"/>
          <w:sz w:val="27"/>
          <w:szCs w:val="27"/>
        </w:rPr>
        <w:t>上述第</w:t>
      </w:r>
      <w:r w:rsidRPr="00B75F0D">
        <w:rPr>
          <w:rFonts w:ascii="font-size:16px;line-height:1.5;" w:eastAsia="微软雅黑" w:hAnsi="font-size:16px;line-height:1.5;" w:cs="宋体"/>
          <w:color w:val="333333"/>
          <w:kern w:val="0"/>
          <w:sz w:val="27"/>
          <w:szCs w:val="27"/>
        </w:rPr>
        <w:t xml:space="preserve">(2) </w:t>
      </w:r>
      <w:r w:rsidRPr="00B75F0D">
        <w:rPr>
          <w:rFonts w:ascii="font-size:16px;line-height:1.5;" w:eastAsia="微软雅黑" w:hAnsi="font-size:16px;line-height:1.5;" w:cs="宋体"/>
          <w:color w:val="333333"/>
          <w:kern w:val="0"/>
          <w:sz w:val="27"/>
          <w:szCs w:val="27"/>
        </w:rPr>
        <w:t>点第</w:t>
      </w:r>
      <w:r w:rsidRPr="00B75F0D">
        <w:rPr>
          <w:rFonts w:ascii="font-size:16px;line-height:1.5;" w:eastAsia="微软雅黑" w:hAnsi="font-size:16px;line-height:1.5;" w:cs="宋体"/>
          <w:color w:val="333333"/>
          <w:kern w:val="0"/>
          <w:sz w:val="27"/>
          <w:szCs w:val="27"/>
        </w:rPr>
        <w:t>③</w:t>
      </w:r>
      <w:r w:rsidRPr="00B75F0D">
        <w:rPr>
          <w:rFonts w:ascii="font-size:16px;line-height:1.5;" w:eastAsia="微软雅黑" w:hAnsi="font-size:16px;line-height:1.5;" w:cs="宋体"/>
          <w:color w:val="333333"/>
          <w:kern w:val="0"/>
          <w:sz w:val="27"/>
          <w:szCs w:val="27"/>
        </w:rPr>
        <w:t>项</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方式与特征</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中针对</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有价值、有特性</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配料或成分通过名称、文字描述、色差、字体、排列顺序进行强调的情形，若仅出现一例</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且该</w:t>
      </w:r>
      <w:proofErr w:type="gramStart"/>
      <w:r w:rsidRPr="00B75F0D">
        <w:rPr>
          <w:rFonts w:ascii="font-size:16px;line-height:1.5;" w:eastAsia="微软雅黑" w:hAnsi="font-size:16px;line-height:1.5;" w:cs="宋体"/>
          <w:color w:val="333333"/>
          <w:kern w:val="0"/>
          <w:sz w:val="27"/>
          <w:szCs w:val="27"/>
        </w:rPr>
        <w:t>例强</w:t>
      </w:r>
      <w:proofErr w:type="gramEnd"/>
      <w:r w:rsidRPr="00B75F0D">
        <w:rPr>
          <w:rFonts w:ascii="font-size:16px;line-height:1.5;" w:eastAsia="微软雅黑" w:hAnsi="font-size:16px;line-height:1.5;" w:cs="宋体"/>
          <w:color w:val="333333"/>
          <w:kern w:val="0"/>
          <w:sz w:val="27"/>
          <w:szCs w:val="27"/>
        </w:rPr>
        <w:t>调的内容与方式不属于特别明显突出的情况下，不宜仅以此认定产品属于</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特别强调</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w:t>
      </w:r>
    </w:p>
    <w:p w14:paraId="4E202653"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二</w:t>
      </w:r>
      <w:r w:rsidRPr="00B75F0D">
        <w:rPr>
          <w:rFonts w:ascii="font-size:16px;line-height:1.5;" w:eastAsia="微软雅黑" w:hAnsi="font-size:16px;line-height:1.5;" w:cs="宋体"/>
          <w:color w:val="333333"/>
          <w:kern w:val="0"/>
          <w:sz w:val="27"/>
          <w:szCs w:val="27"/>
        </w:rPr>
        <w:t xml:space="preserve">) </w:t>
      </w:r>
      <w:r w:rsidRPr="00B75F0D">
        <w:rPr>
          <w:rFonts w:ascii="font-size:16px;line-height:1.5;" w:eastAsia="微软雅黑" w:hAnsi="font-size:16px;line-height:1.5;" w:cs="宋体"/>
          <w:color w:val="333333"/>
          <w:kern w:val="0"/>
          <w:sz w:val="27"/>
          <w:szCs w:val="27"/>
        </w:rPr>
        <w:t>关于进口食品类案件。</w:t>
      </w:r>
    </w:p>
    <w:p w14:paraId="426B2089"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1.</w:t>
      </w:r>
      <w:r w:rsidRPr="00B75F0D">
        <w:rPr>
          <w:rFonts w:ascii="font-size:16px;line-height:1.5;" w:eastAsia="微软雅黑" w:hAnsi="font-size:16px;line-height:1.5;" w:cs="宋体"/>
          <w:color w:val="333333"/>
          <w:kern w:val="0"/>
          <w:sz w:val="27"/>
          <w:szCs w:val="27"/>
        </w:rPr>
        <w:t>涵盖情形。</w:t>
      </w:r>
    </w:p>
    <w:p w14:paraId="22CBEE34"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(1)</w:t>
      </w:r>
      <w:r w:rsidRPr="00B75F0D">
        <w:rPr>
          <w:rFonts w:ascii="font-size:16px;line-height:1.5;" w:eastAsia="微软雅黑" w:hAnsi="font-size:16px;line-height:1.5;" w:cs="宋体"/>
          <w:color w:val="333333"/>
          <w:kern w:val="0"/>
          <w:sz w:val="27"/>
          <w:szCs w:val="27"/>
        </w:rPr>
        <w:t>进口食品中含有我国现行法律法规或者食品安全标准规定不得添加的配料或成分</w:t>
      </w:r>
      <w:r w:rsidRPr="00B75F0D">
        <w:rPr>
          <w:rFonts w:ascii="font-size:16px;line-height:1.5;" w:eastAsia="微软雅黑" w:hAnsi="font-size:16px;line-height:1.5;" w:cs="宋体"/>
          <w:color w:val="333333"/>
          <w:kern w:val="0"/>
          <w:sz w:val="27"/>
          <w:szCs w:val="27"/>
        </w:rPr>
        <w:t>,</w:t>
      </w:r>
      <w:proofErr w:type="gramStart"/>
      <w:r w:rsidRPr="00B75F0D">
        <w:rPr>
          <w:rFonts w:ascii="font-size:16px;line-height:1.5;" w:eastAsia="微软雅黑" w:hAnsi="font-size:16px;line-height:1.5;" w:cs="宋体"/>
          <w:color w:val="333333"/>
          <w:kern w:val="0"/>
          <w:sz w:val="27"/>
          <w:szCs w:val="27"/>
        </w:rPr>
        <w:t>但其备进出口</w:t>
      </w:r>
      <w:proofErr w:type="gramEnd"/>
      <w:r w:rsidRPr="00B75F0D">
        <w:rPr>
          <w:rFonts w:ascii="font-size:16px;line-height:1.5;" w:eastAsia="微软雅黑" w:hAnsi="font-size:16px;line-height:1.5;" w:cs="宋体"/>
          <w:color w:val="333333"/>
          <w:kern w:val="0"/>
          <w:sz w:val="27"/>
          <w:szCs w:val="27"/>
        </w:rPr>
        <w:t>检验检疫机构出具的合格证明文件</w:t>
      </w:r>
      <w:r w:rsidRPr="00B75F0D">
        <w:rPr>
          <w:rFonts w:ascii="font-size:16px;line-height:1.5;" w:eastAsia="微软雅黑" w:hAnsi="font-size:16px;line-height:1.5;" w:cs="宋体"/>
          <w:color w:val="333333"/>
          <w:kern w:val="0"/>
          <w:sz w:val="27"/>
          <w:szCs w:val="27"/>
        </w:rPr>
        <w:t>;</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(2) </w:t>
      </w:r>
      <w:r w:rsidRPr="00B75F0D">
        <w:rPr>
          <w:rFonts w:ascii="font-size:16px;line-height:1.5;" w:eastAsia="微软雅黑" w:hAnsi="font-size:16px;line-height:1.5;" w:cs="宋体"/>
          <w:color w:val="333333"/>
          <w:kern w:val="0"/>
          <w:sz w:val="27"/>
          <w:szCs w:val="27"/>
        </w:rPr>
        <w:t>进口食品标签内容存在涉嫌违反我国现行法律法规或食品安全标准的内容，但具备进出口检验检疫机构出具的合格证明文件。</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2.</w:t>
      </w:r>
      <w:r w:rsidRPr="00B75F0D">
        <w:rPr>
          <w:rFonts w:ascii="font-size:16px;line-height:1.5;" w:eastAsia="微软雅黑" w:hAnsi="font-size:16px;line-height:1.5;" w:cs="宋体"/>
          <w:color w:val="333333"/>
          <w:kern w:val="0"/>
          <w:sz w:val="27"/>
          <w:szCs w:val="27"/>
        </w:rPr>
        <w:t>处理原则。</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(1)</w:t>
      </w:r>
      <w:r w:rsidRPr="00B75F0D">
        <w:rPr>
          <w:rFonts w:ascii="font-size:16px;line-height:1.5;" w:eastAsia="微软雅黑" w:hAnsi="font-size:16px;line-height:1.5;" w:cs="宋体"/>
          <w:color w:val="333333"/>
          <w:kern w:val="0"/>
          <w:sz w:val="27"/>
          <w:szCs w:val="27"/>
        </w:rPr>
        <w:t>涉案产品违法事实清楚，明显违反了我国现行法律法规、食品安全</w:t>
      </w:r>
      <w:r w:rsidRPr="00B75F0D">
        <w:rPr>
          <w:rFonts w:ascii="font-size:16px;line-height:1.5;" w:eastAsia="微软雅黑" w:hAnsi="font-size:16px;line-height:1.5;" w:cs="宋体"/>
          <w:color w:val="333333"/>
          <w:kern w:val="0"/>
          <w:sz w:val="27"/>
          <w:szCs w:val="27"/>
        </w:rPr>
        <w:lastRenderedPageBreak/>
        <w:t>标准强制性规定内容的，由进出口检验检疫机构出具的合格证明文件已明显与法律法规、食品安全标准规定相悖，故不能作为认定产品合法的依据。</w:t>
      </w:r>
    </w:p>
    <w:p w14:paraId="047E10D8"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(2)</w:t>
      </w:r>
      <w:r w:rsidRPr="00B75F0D">
        <w:rPr>
          <w:rFonts w:ascii="font-size:16px;line-height:1.5;" w:eastAsia="微软雅黑" w:hAnsi="font-size:16px;line-height:1.5;" w:cs="宋体"/>
          <w:color w:val="333333"/>
          <w:kern w:val="0"/>
          <w:sz w:val="27"/>
          <w:szCs w:val="27"/>
        </w:rPr>
        <w:t>进口食品标签案件中，根据《食品安全法》第一百一十条、《食品药品行政处罚程序规定》第四章进行调查取证后，仍不能直接认定产品标签是否合法，则根据《进出口食品安全管理办法》的有关规定，进出口检验检疫机构对进口的食品有检验检疫的职责</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其检验检疫依据的是我国现行法律法规和食品安全标准的相关要求。若食品生产经营企业能够提供进口检验检疫合格报告，可以认定涉案产品标签标识符合我国法律法规、食品安全标准的规定。</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3.</w:t>
      </w:r>
      <w:r w:rsidRPr="00B75F0D">
        <w:rPr>
          <w:rFonts w:ascii="font-size:16px;line-height:1.5;" w:eastAsia="微软雅黑" w:hAnsi="font-size:16px;line-height:1.5;" w:cs="宋体"/>
          <w:color w:val="333333"/>
          <w:kern w:val="0"/>
          <w:sz w:val="27"/>
          <w:szCs w:val="27"/>
        </w:rPr>
        <w:t>注意事项。调查取证是行政机关全面履行执法办案职责的体现，《食品安全法》第一百一十条、《食品药品行政处罚程序规定》第四章规定了食药监管部门执法办案中可以采取的调查手段。食药监部门调查收集证据的活动应当贯穿</w:t>
      </w:r>
      <w:proofErr w:type="gramStart"/>
      <w:r w:rsidRPr="00B75F0D">
        <w:rPr>
          <w:rFonts w:ascii="font-size:16px;line-height:1.5;" w:eastAsia="微软雅黑" w:hAnsi="font-size:16px;line-height:1.5;" w:cs="宋体"/>
          <w:color w:val="333333"/>
          <w:kern w:val="0"/>
          <w:sz w:val="27"/>
          <w:szCs w:val="27"/>
        </w:rPr>
        <w:t>于投诉</w:t>
      </w:r>
      <w:proofErr w:type="gramEnd"/>
      <w:r w:rsidRPr="00B75F0D">
        <w:rPr>
          <w:rFonts w:ascii="font-size:16px;line-height:1.5;" w:eastAsia="微软雅黑" w:hAnsi="font-size:16px;line-height:1.5;" w:cs="宋体"/>
          <w:color w:val="333333"/>
          <w:kern w:val="0"/>
          <w:sz w:val="27"/>
          <w:szCs w:val="27"/>
        </w:rPr>
        <w:t>举报案件或行政处罚案件全过程，在执法办案过程中，如现有证据不能认定案件事实，则食药监部门应当采取前述法律法规规定中的手段对案件展开进一步调查。当未用尽上述调查手段前，不能以案件事实不清、证据不足为由结案或终止调查。</w:t>
      </w:r>
    </w:p>
    <w:p w14:paraId="7358DAAC" w14:textId="77777777" w:rsidR="00B75F0D" w:rsidRPr="00B75F0D" w:rsidRDefault="00B75F0D" w:rsidP="00B75F0D">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根据具体案件情况不同，各单位可以根据实际情况采取的一般的调查手段包括</w:t>
      </w:r>
      <w:r w:rsidRPr="00B75F0D">
        <w:rPr>
          <w:rFonts w:ascii="font-size:16px;line-height:1.5;" w:eastAsia="微软雅黑" w:hAnsi="font-size:16px;line-height:1.5;" w:cs="宋体"/>
          <w:color w:val="333333"/>
          <w:kern w:val="0"/>
          <w:sz w:val="27"/>
          <w:szCs w:val="27"/>
        </w:rPr>
        <w:t xml:space="preserve">: </w:t>
      </w:r>
      <w:r w:rsidRPr="00B75F0D">
        <w:rPr>
          <w:rFonts w:ascii="font-size:16px;line-height:1.5;" w:eastAsia="微软雅黑" w:hAnsi="font-size:16px;line-height:1.5;" w:cs="宋体"/>
          <w:color w:val="333333"/>
          <w:kern w:val="0"/>
          <w:sz w:val="27"/>
          <w:szCs w:val="27"/>
        </w:rPr>
        <w:t>走访、询问相关人员，听取相关情况说明</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进行现场勘验、检查、摄像、拍照等</w:t>
      </w:r>
      <w:r w:rsidRPr="00B75F0D">
        <w:rPr>
          <w:rFonts w:ascii="font-size:16px;line-height:1.5;" w:eastAsia="微软雅黑" w:hAnsi="font-size:16px;line-height:1.5;" w:cs="宋体"/>
          <w:color w:val="333333"/>
          <w:kern w:val="0"/>
          <w:sz w:val="27"/>
          <w:szCs w:val="27"/>
        </w:rPr>
        <w:t xml:space="preserve">; </w:t>
      </w:r>
      <w:r w:rsidRPr="00B75F0D">
        <w:rPr>
          <w:rFonts w:ascii="font-size:16px;line-height:1.5;" w:eastAsia="微软雅黑" w:hAnsi="font-size:16px;line-height:1.5;" w:cs="宋体"/>
          <w:color w:val="333333"/>
          <w:kern w:val="0"/>
          <w:sz w:val="27"/>
          <w:szCs w:val="27"/>
        </w:rPr>
        <w:t>采取抽样和先行登记保存的方式收集证据</w:t>
      </w:r>
      <w:r w:rsidRPr="00B75F0D">
        <w:rPr>
          <w:rFonts w:ascii="font-size:16px;line-height:1.5;" w:eastAsia="微软雅黑" w:hAnsi="font-size:16px;line-height:1.5;" w:cs="宋体"/>
          <w:color w:val="333333"/>
          <w:kern w:val="0"/>
          <w:sz w:val="27"/>
          <w:szCs w:val="27"/>
        </w:rPr>
        <w:t xml:space="preserve">; </w:t>
      </w:r>
      <w:r w:rsidRPr="00B75F0D">
        <w:rPr>
          <w:rFonts w:ascii="font-size:16px;line-height:1.5;" w:eastAsia="微软雅黑" w:hAnsi="font-size:16px;line-height:1.5;" w:cs="宋体"/>
          <w:color w:val="333333"/>
          <w:kern w:val="0"/>
          <w:sz w:val="27"/>
          <w:szCs w:val="27"/>
        </w:rPr>
        <w:t>查阅或者复制相关材料</w:t>
      </w:r>
      <w:r w:rsidRPr="00B75F0D">
        <w:rPr>
          <w:rFonts w:ascii="font-size:16px;line-height:1.5;" w:eastAsia="微软雅黑" w:hAnsi="font-size:16px;line-height:1.5;" w:cs="宋体"/>
          <w:color w:val="333333"/>
          <w:kern w:val="0"/>
          <w:sz w:val="27"/>
          <w:szCs w:val="27"/>
        </w:rPr>
        <w:t xml:space="preserve">; </w:t>
      </w:r>
      <w:r w:rsidRPr="00B75F0D">
        <w:rPr>
          <w:rFonts w:ascii="font-size:16px;line-height:1.5;" w:eastAsia="微软雅黑" w:hAnsi="font-size:16px;line-height:1.5;" w:cs="宋体"/>
          <w:color w:val="333333"/>
          <w:kern w:val="0"/>
          <w:sz w:val="27"/>
          <w:szCs w:val="27"/>
        </w:rPr>
        <w:t>组织技术检测、鉴定</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向有关单位了解核实情况等。</w:t>
      </w:r>
    </w:p>
    <w:p w14:paraId="32C9FF22"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lastRenderedPageBreak/>
        <w:t>(</w:t>
      </w:r>
      <w:r w:rsidRPr="00B75F0D">
        <w:rPr>
          <w:rFonts w:ascii="font-size:16px;line-height:1.5;" w:eastAsia="微软雅黑" w:hAnsi="font-size:16px;line-height:1.5;" w:cs="宋体"/>
          <w:color w:val="333333"/>
          <w:kern w:val="0"/>
          <w:sz w:val="27"/>
          <w:szCs w:val="27"/>
        </w:rPr>
        <w:t>三</w:t>
      </w:r>
      <w:r w:rsidRPr="00B75F0D">
        <w:rPr>
          <w:rFonts w:ascii="font-size:16px;line-height:1.5;" w:eastAsia="微软雅黑" w:hAnsi="font-size:16px;line-height:1.5;" w:cs="宋体"/>
          <w:color w:val="333333"/>
          <w:kern w:val="0"/>
          <w:sz w:val="27"/>
          <w:szCs w:val="27"/>
        </w:rPr>
        <w:t xml:space="preserve">) </w:t>
      </w:r>
      <w:r w:rsidRPr="00B75F0D">
        <w:rPr>
          <w:rFonts w:ascii="font-size:16px;line-height:1.5;" w:eastAsia="微软雅黑" w:hAnsi="font-size:16px;line-height:1.5;" w:cs="宋体"/>
          <w:color w:val="333333"/>
          <w:kern w:val="0"/>
          <w:sz w:val="27"/>
          <w:szCs w:val="27"/>
        </w:rPr>
        <w:t>关于新食品原料类案件。</w:t>
      </w:r>
    </w:p>
    <w:p w14:paraId="0A4D7E91"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1.</w:t>
      </w:r>
      <w:r w:rsidRPr="00B75F0D">
        <w:rPr>
          <w:rFonts w:ascii="font-size:16px;line-height:1.5;" w:eastAsia="微软雅黑" w:hAnsi="font-size:16px;line-height:1.5;" w:cs="宋体"/>
          <w:color w:val="333333"/>
          <w:kern w:val="0"/>
          <w:sz w:val="27"/>
          <w:szCs w:val="27"/>
        </w:rPr>
        <w:t>涵盖类型。食品中添加了一种或多种既未纳入</w:t>
      </w:r>
      <w:proofErr w:type="gramStart"/>
      <w:r w:rsidRPr="00B75F0D">
        <w:rPr>
          <w:rFonts w:ascii="font-size:16px;line-height:1.5;" w:eastAsia="微软雅黑" w:hAnsi="font-size:16px;line-height:1.5;" w:cs="宋体"/>
          <w:color w:val="333333"/>
          <w:kern w:val="0"/>
          <w:sz w:val="27"/>
          <w:szCs w:val="27"/>
        </w:rPr>
        <w:t>《</w:t>
      </w:r>
      <w:proofErr w:type="gramEnd"/>
      <w:r w:rsidRPr="00B75F0D">
        <w:rPr>
          <w:rFonts w:ascii="font-size:16px;line-height:1.5;" w:eastAsia="微软雅黑" w:hAnsi="font-size:16px;line-height:1.5;" w:cs="宋体"/>
          <w:color w:val="333333"/>
          <w:kern w:val="0"/>
          <w:sz w:val="27"/>
          <w:szCs w:val="27"/>
        </w:rPr>
        <w:t>药典</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、食药同源名单，也不属于国家卫计委批准的新食品原料，同时目前尚未制定相关标准的非常见原料。</w:t>
      </w:r>
    </w:p>
    <w:p w14:paraId="59FD3187"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2.</w:t>
      </w:r>
      <w:r w:rsidRPr="00B75F0D">
        <w:rPr>
          <w:rFonts w:ascii="font-size:16px;line-height:1.5;" w:eastAsia="微软雅黑" w:hAnsi="font-size:16px;line-height:1.5;" w:cs="宋体"/>
          <w:color w:val="333333"/>
          <w:kern w:val="0"/>
          <w:sz w:val="27"/>
          <w:szCs w:val="27"/>
        </w:rPr>
        <w:t>投诉较多的产品。西洋参、雪菊、挑花、蟹壳水解物、鲨鱼软骨等。</w:t>
      </w:r>
    </w:p>
    <w:p w14:paraId="6161F25D"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3.</w:t>
      </w:r>
      <w:r w:rsidRPr="00B75F0D">
        <w:rPr>
          <w:rFonts w:ascii="font-size:16px;line-height:1.5;" w:eastAsia="微软雅黑" w:hAnsi="font-size:16px;line-height:1.5;" w:cs="宋体"/>
          <w:color w:val="333333"/>
          <w:kern w:val="0"/>
          <w:sz w:val="27"/>
          <w:szCs w:val="27"/>
        </w:rPr>
        <w:t>处理原则。根据《新食品原料安全性审查管理办法》第二条、第二十二条第二款之规定，判定某种食品是否属于新食品原料的关键是该食品在我省辖区域内是否有</w:t>
      </w:r>
      <w:r w:rsidRPr="00B75F0D">
        <w:rPr>
          <w:rFonts w:ascii="font-size:16px;line-height:1.5;" w:eastAsia="微软雅黑" w:hAnsi="font-size:16px;line-height:1.5;" w:cs="宋体"/>
          <w:color w:val="333333"/>
          <w:kern w:val="0"/>
          <w:sz w:val="27"/>
          <w:szCs w:val="27"/>
        </w:rPr>
        <w:t>30</w:t>
      </w:r>
      <w:r w:rsidRPr="00B75F0D">
        <w:rPr>
          <w:rFonts w:ascii="font-size:16px;line-height:1.5;" w:eastAsia="微软雅黑" w:hAnsi="font-size:16px;line-height:1.5;" w:cs="宋体"/>
          <w:color w:val="333333"/>
          <w:kern w:val="0"/>
          <w:sz w:val="27"/>
          <w:szCs w:val="27"/>
        </w:rPr>
        <w:t>年以上作为定型或者非定型包装食品生产经营的历史。</w:t>
      </w:r>
      <w:r w:rsidRPr="00B75F0D">
        <w:rPr>
          <w:rFonts w:ascii="font-size:16px;line-height:1.5;" w:eastAsia="微软雅黑" w:hAnsi="font-size:16px;line-height:1.5;" w:cs="宋体"/>
          <w:color w:val="333333"/>
          <w:kern w:val="0"/>
          <w:sz w:val="27"/>
          <w:szCs w:val="27"/>
        </w:rPr>
        <w:t>30</w:t>
      </w:r>
      <w:r w:rsidRPr="00B75F0D">
        <w:rPr>
          <w:rFonts w:ascii="font-size:16px;line-height:1.5;" w:eastAsia="微软雅黑" w:hAnsi="font-size:16px;line-height:1.5;" w:cs="宋体"/>
          <w:color w:val="333333"/>
          <w:kern w:val="0"/>
          <w:sz w:val="27"/>
          <w:szCs w:val="27"/>
        </w:rPr>
        <w:t>年是一个客观、固定的衡量标准，在此类案件的办理过程中，可以收集以下材料进行综合判断：通过正式发行或者专业图书馆保存的历史证明文献资料，其中记录有涉案原料食用历史记录的文字资料</w:t>
      </w:r>
      <w:r w:rsidRPr="00B75F0D">
        <w:rPr>
          <w:rFonts w:ascii="font-size:16px;line-height:1.5;" w:eastAsia="微软雅黑" w:hAnsi="font-size:16px;line-height:1.5;" w:cs="宋体"/>
          <w:color w:val="333333"/>
          <w:kern w:val="0"/>
          <w:sz w:val="27"/>
          <w:szCs w:val="27"/>
        </w:rPr>
        <w:t xml:space="preserve">; </w:t>
      </w:r>
      <w:r w:rsidRPr="00B75F0D">
        <w:rPr>
          <w:rFonts w:ascii="font-size:16px;line-height:1.5;" w:eastAsia="微软雅黑" w:hAnsi="font-size:16px;line-height:1.5;" w:cs="宋体"/>
          <w:color w:val="333333"/>
          <w:kern w:val="0"/>
          <w:sz w:val="27"/>
          <w:szCs w:val="27"/>
        </w:rPr>
        <w:t>相关行业协会出具的证明材料，证明某种食品在我省有传统食用习惯。</w:t>
      </w:r>
    </w:p>
    <w:p w14:paraId="059BD053"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4.</w:t>
      </w:r>
      <w:r w:rsidRPr="00B75F0D">
        <w:rPr>
          <w:rFonts w:ascii="font-size:16px;line-height:1.5;" w:eastAsia="微软雅黑" w:hAnsi="font-size:16px;line-height:1.5;" w:cs="宋体"/>
          <w:color w:val="333333"/>
          <w:kern w:val="0"/>
          <w:sz w:val="27"/>
          <w:szCs w:val="27"/>
        </w:rPr>
        <w:t>注意事项。网络平台中对涉案原料历史的记载应当审慎采纳。记录于专业网站或者省级以上政府网站的文献资料可以作为认定案件事实的依据之一。大众网络平台</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如百度、谷歌等</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并非是记录某种食品原料生产经营历史的专业网站，其中记录的文献资料不宜作为认定案件事实的依据。</w:t>
      </w:r>
    </w:p>
    <w:p w14:paraId="4593C144"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w:t>
      </w:r>
      <w:r w:rsidRPr="00B75F0D">
        <w:rPr>
          <w:rFonts w:ascii="font-size:16px;line-height:1.5;" w:eastAsia="微软雅黑" w:hAnsi="font-size:16px;line-height:1.5;" w:cs="宋体"/>
          <w:color w:val="333333"/>
          <w:kern w:val="0"/>
          <w:sz w:val="27"/>
          <w:szCs w:val="27"/>
        </w:rPr>
        <w:t>四</w:t>
      </w:r>
      <w:r w:rsidRPr="00B75F0D">
        <w:rPr>
          <w:rFonts w:ascii="font-size:16px;line-height:1.5;" w:eastAsia="微软雅黑" w:hAnsi="font-size:16px;line-height:1.5;" w:cs="宋体"/>
          <w:color w:val="333333"/>
          <w:kern w:val="0"/>
          <w:sz w:val="27"/>
          <w:szCs w:val="27"/>
        </w:rPr>
        <w:t>) </w:t>
      </w:r>
      <w:r w:rsidRPr="00B75F0D">
        <w:rPr>
          <w:rFonts w:ascii="font-size:16px;line-height:1.5;" w:eastAsia="微软雅黑" w:hAnsi="font-size:16px;line-height:1.5;" w:cs="宋体"/>
          <w:color w:val="333333"/>
          <w:kern w:val="0"/>
          <w:sz w:val="27"/>
          <w:szCs w:val="27"/>
        </w:rPr>
        <w:t>关于食品配料或成分名称与实际名称不一致的案件。</w:t>
      </w:r>
    </w:p>
    <w:p w14:paraId="506A219F"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lastRenderedPageBreak/>
        <w:t>1.</w:t>
      </w:r>
      <w:r w:rsidRPr="00B75F0D">
        <w:rPr>
          <w:rFonts w:ascii="font-size:16px;line-height:1.5;" w:eastAsia="微软雅黑" w:hAnsi="font-size:16px;line-height:1.5;" w:cs="宋体"/>
          <w:color w:val="333333"/>
          <w:kern w:val="0"/>
          <w:sz w:val="27"/>
          <w:szCs w:val="27"/>
        </w:rPr>
        <w:t>涵盖情形。</w:t>
      </w:r>
    </w:p>
    <w:p w14:paraId="1298BB63"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(1) </w:t>
      </w:r>
      <w:r w:rsidRPr="00B75F0D">
        <w:rPr>
          <w:rFonts w:ascii="font-size:16px;line-height:1.5;" w:eastAsia="微软雅黑" w:hAnsi="font-size:16px;line-height:1.5;" w:cs="宋体"/>
          <w:color w:val="333333"/>
          <w:kern w:val="0"/>
          <w:sz w:val="27"/>
          <w:szCs w:val="27"/>
        </w:rPr>
        <w:t>产品名称为红糖，配料表标注为</w:t>
      </w:r>
      <w:proofErr w:type="gramStart"/>
      <w:r w:rsidRPr="00B75F0D">
        <w:rPr>
          <w:rFonts w:ascii="font-size:16px;line-height:1.5;" w:eastAsia="微软雅黑" w:hAnsi="font-size:16px;line-height:1.5;" w:cs="宋体"/>
          <w:color w:val="333333"/>
          <w:kern w:val="0"/>
          <w:sz w:val="27"/>
          <w:szCs w:val="27"/>
        </w:rPr>
        <w:t>赤</w:t>
      </w:r>
      <w:proofErr w:type="gramEnd"/>
      <w:r w:rsidRPr="00B75F0D">
        <w:rPr>
          <w:rFonts w:ascii="font-size:16px;line-height:1.5;" w:eastAsia="微软雅黑" w:hAnsi="font-size:16px;line-height:1.5;" w:cs="宋体"/>
          <w:color w:val="333333"/>
          <w:kern w:val="0"/>
          <w:sz w:val="27"/>
          <w:szCs w:val="27"/>
        </w:rPr>
        <w:t>砂糖</w:t>
      </w:r>
      <w:r w:rsidRPr="00B75F0D">
        <w:rPr>
          <w:rFonts w:ascii="font-size:16px;line-height:1.5;" w:eastAsia="微软雅黑" w:hAnsi="font-size:16px;line-height:1.5;" w:cs="宋体"/>
          <w:color w:val="333333"/>
          <w:kern w:val="0"/>
          <w:sz w:val="27"/>
          <w:szCs w:val="27"/>
        </w:rPr>
        <w:t>;</w:t>
      </w:r>
    </w:p>
    <w:p w14:paraId="08598AA7"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(2) </w:t>
      </w:r>
      <w:r w:rsidRPr="00B75F0D">
        <w:rPr>
          <w:rFonts w:ascii="font-size:16px;line-height:1.5;" w:eastAsia="微软雅黑" w:hAnsi="font-size:16px;line-height:1.5;" w:cs="宋体"/>
          <w:color w:val="333333"/>
          <w:kern w:val="0"/>
          <w:sz w:val="27"/>
          <w:szCs w:val="27"/>
        </w:rPr>
        <w:t>产品名称为黑糖，配料表标注为红糖或</w:t>
      </w:r>
      <w:proofErr w:type="gramStart"/>
      <w:r w:rsidRPr="00B75F0D">
        <w:rPr>
          <w:rFonts w:ascii="font-size:16px;line-height:1.5;" w:eastAsia="微软雅黑" w:hAnsi="font-size:16px;line-height:1.5;" w:cs="宋体"/>
          <w:color w:val="333333"/>
          <w:kern w:val="0"/>
          <w:sz w:val="27"/>
          <w:szCs w:val="27"/>
        </w:rPr>
        <w:t>赤</w:t>
      </w:r>
      <w:proofErr w:type="gramEnd"/>
      <w:r w:rsidRPr="00B75F0D">
        <w:rPr>
          <w:rFonts w:ascii="font-size:16px;line-height:1.5;" w:eastAsia="微软雅黑" w:hAnsi="font-size:16px;line-height:1.5;" w:cs="宋体"/>
          <w:color w:val="333333"/>
          <w:kern w:val="0"/>
          <w:sz w:val="27"/>
          <w:szCs w:val="27"/>
        </w:rPr>
        <w:t>砂糖。</w:t>
      </w:r>
    </w:p>
    <w:p w14:paraId="6E28D94B"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2.</w:t>
      </w:r>
      <w:r w:rsidRPr="00B75F0D">
        <w:rPr>
          <w:rFonts w:ascii="font-size:16px;line-height:1.5;" w:eastAsia="微软雅黑" w:hAnsi="font-size:16px;line-height:1.5;" w:cs="宋体"/>
          <w:color w:val="333333"/>
          <w:kern w:val="0"/>
          <w:sz w:val="27"/>
          <w:szCs w:val="27"/>
        </w:rPr>
        <w:t>投诉较多的产品。红糖、黑糖类产品等。</w:t>
      </w:r>
    </w:p>
    <w:p w14:paraId="30250E07"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3.</w:t>
      </w:r>
      <w:r w:rsidRPr="00B75F0D">
        <w:rPr>
          <w:rFonts w:ascii="font-size:16px;line-height:1.5;" w:eastAsia="微软雅黑" w:hAnsi="font-size:16px;line-height:1.5;" w:cs="宋体"/>
          <w:color w:val="333333"/>
          <w:kern w:val="0"/>
          <w:sz w:val="27"/>
          <w:szCs w:val="27"/>
        </w:rPr>
        <w:t>问题存在原因。红糖、</w:t>
      </w:r>
      <w:proofErr w:type="gramStart"/>
      <w:r w:rsidRPr="00B75F0D">
        <w:rPr>
          <w:rFonts w:ascii="font-size:16px;line-height:1.5;" w:eastAsia="微软雅黑" w:hAnsi="font-size:16px;line-height:1.5;" w:cs="宋体"/>
          <w:color w:val="333333"/>
          <w:kern w:val="0"/>
          <w:sz w:val="27"/>
          <w:szCs w:val="27"/>
        </w:rPr>
        <w:t>赤</w:t>
      </w:r>
      <w:proofErr w:type="gramEnd"/>
      <w:r w:rsidRPr="00B75F0D">
        <w:rPr>
          <w:rFonts w:ascii="font-size:16px;line-height:1.5;" w:eastAsia="微软雅黑" w:hAnsi="font-size:16px;line-height:1.5;" w:cs="宋体"/>
          <w:color w:val="333333"/>
          <w:kern w:val="0"/>
          <w:sz w:val="27"/>
          <w:szCs w:val="27"/>
        </w:rPr>
        <w:t>砂糖差异案件存在一定的历史原因。</w:t>
      </w:r>
      <w:r w:rsidRPr="00B75F0D">
        <w:rPr>
          <w:rFonts w:ascii="font-size:16px;line-height:1.5;" w:eastAsia="微软雅黑" w:hAnsi="font-size:16px;line-height:1.5;" w:cs="宋体"/>
          <w:color w:val="333333"/>
          <w:kern w:val="0"/>
          <w:sz w:val="27"/>
          <w:szCs w:val="27"/>
        </w:rPr>
        <w:t>2016</w:t>
      </w:r>
      <w:r w:rsidRPr="00B75F0D">
        <w:rPr>
          <w:rFonts w:ascii="font-size:16px;line-height:1.5;" w:eastAsia="微软雅黑" w:hAnsi="font-size:16px;line-height:1.5;" w:cs="宋体"/>
          <w:color w:val="333333"/>
          <w:kern w:val="0"/>
          <w:sz w:val="27"/>
          <w:szCs w:val="27"/>
        </w:rPr>
        <w:t>年，国家食品药品监督管理总局公布《食品生产许可分类目录》</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简称</w:t>
      </w:r>
      <w:r w:rsidRPr="00B75F0D">
        <w:rPr>
          <w:rFonts w:ascii="font-size:16px;line-height:1.5;" w:eastAsia="微软雅黑" w:hAnsi="font-size:16px;line-height:1.5;" w:cs="宋体"/>
          <w:color w:val="333333"/>
          <w:kern w:val="0"/>
          <w:sz w:val="27"/>
          <w:szCs w:val="27"/>
        </w:rPr>
        <w:t>SC</w:t>
      </w:r>
      <w:r w:rsidRPr="00B75F0D">
        <w:rPr>
          <w:rFonts w:ascii="font-size:16px;line-height:1.5;" w:eastAsia="微软雅黑" w:hAnsi="font-size:16px;line-height:1.5;" w:cs="宋体"/>
          <w:color w:val="333333"/>
          <w:kern w:val="0"/>
          <w:sz w:val="27"/>
          <w:szCs w:val="27"/>
        </w:rPr>
        <w:t>版《食品生产许可分类目录》</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以前，</w:t>
      </w:r>
      <w:r w:rsidRPr="00B75F0D">
        <w:rPr>
          <w:rFonts w:ascii="font-size:16px;line-height:1.5;" w:eastAsia="微软雅黑" w:hAnsi="font-size:16px;line-height:1.5;" w:cs="宋体"/>
          <w:color w:val="333333"/>
          <w:kern w:val="0"/>
          <w:sz w:val="27"/>
          <w:szCs w:val="27"/>
        </w:rPr>
        <w:t>QS</w:t>
      </w:r>
      <w:proofErr w:type="gramStart"/>
      <w:r w:rsidRPr="00B75F0D">
        <w:rPr>
          <w:rFonts w:ascii="font-size:16px;line-height:1.5;" w:eastAsia="微软雅黑" w:hAnsi="font-size:16px;line-height:1.5;" w:cs="宋体"/>
          <w:color w:val="333333"/>
          <w:kern w:val="0"/>
          <w:sz w:val="27"/>
          <w:szCs w:val="27"/>
        </w:rPr>
        <w:t>证时期</w:t>
      </w:r>
      <w:proofErr w:type="gramEnd"/>
      <w:r w:rsidRPr="00B75F0D">
        <w:rPr>
          <w:rFonts w:ascii="font-size:16px;line-height:1.5;" w:eastAsia="微软雅黑" w:hAnsi="font-size:16px;line-height:1.5;" w:cs="宋体"/>
          <w:color w:val="333333"/>
          <w:kern w:val="0"/>
          <w:sz w:val="27"/>
          <w:szCs w:val="27"/>
        </w:rPr>
        <w:t>的食品生产许可分类目录中并未明确区分红糖和</w:t>
      </w:r>
      <w:proofErr w:type="gramStart"/>
      <w:r w:rsidRPr="00B75F0D">
        <w:rPr>
          <w:rFonts w:ascii="font-size:16px;line-height:1.5;" w:eastAsia="微软雅黑" w:hAnsi="font-size:16px;line-height:1.5;" w:cs="宋体"/>
          <w:color w:val="333333"/>
          <w:kern w:val="0"/>
          <w:sz w:val="27"/>
          <w:szCs w:val="27"/>
        </w:rPr>
        <w:t>赤砂糖</w:t>
      </w:r>
      <w:proofErr w:type="gramEnd"/>
      <w:r w:rsidRPr="00B75F0D">
        <w:rPr>
          <w:rFonts w:ascii="font-size:16px;line-height:1.5;" w:eastAsia="微软雅黑" w:hAnsi="font-size:16px;line-height:1.5;" w:cs="宋体"/>
          <w:color w:val="333333"/>
          <w:kern w:val="0"/>
          <w:sz w:val="27"/>
          <w:szCs w:val="27"/>
        </w:rPr>
        <w:t>，在食糖生产企业申请生产许可及发证机关发证时均未进行明确区分</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由于该历史原因导致存在部分产品中名称与配料不一致的情形</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仅限红糖、</w:t>
      </w:r>
      <w:proofErr w:type="gramStart"/>
      <w:r w:rsidRPr="00B75F0D">
        <w:rPr>
          <w:rFonts w:ascii="font-size:16px;line-height:1.5;" w:eastAsia="微软雅黑" w:hAnsi="font-size:16px;line-height:1.5;" w:cs="宋体"/>
          <w:color w:val="333333"/>
          <w:kern w:val="0"/>
          <w:sz w:val="27"/>
          <w:szCs w:val="27"/>
        </w:rPr>
        <w:t>赤</w:t>
      </w:r>
      <w:proofErr w:type="gramEnd"/>
      <w:r w:rsidRPr="00B75F0D">
        <w:rPr>
          <w:rFonts w:ascii="font-size:16px;line-height:1.5;" w:eastAsia="微软雅黑" w:hAnsi="font-size:16px;line-height:1.5;" w:cs="宋体"/>
          <w:color w:val="333333"/>
          <w:kern w:val="0"/>
          <w:sz w:val="27"/>
          <w:szCs w:val="27"/>
        </w:rPr>
        <w:t>砂糖等未在</w:t>
      </w:r>
      <w:r w:rsidRPr="00B75F0D">
        <w:rPr>
          <w:rFonts w:ascii="font-size:16px;line-height:1.5;" w:eastAsia="微软雅黑" w:hAnsi="font-size:16px;line-height:1.5;" w:cs="宋体"/>
          <w:color w:val="333333"/>
          <w:kern w:val="0"/>
          <w:sz w:val="27"/>
          <w:szCs w:val="27"/>
        </w:rPr>
        <w:t xml:space="preserve">2016 </w:t>
      </w:r>
      <w:r w:rsidRPr="00B75F0D">
        <w:rPr>
          <w:rFonts w:ascii="font-size:16px;line-height:1.5;" w:eastAsia="微软雅黑" w:hAnsi="font-size:16px;line-height:1.5;" w:cs="宋体"/>
          <w:color w:val="333333"/>
          <w:kern w:val="0"/>
          <w:sz w:val="27"/>
          <w:szCs w:val="27"/>
        </w:rPr>
        <w:t>年日以前的生产许可分类目录的</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食糖</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分类中做明确区分，且在之后的许可分类目录</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食糖</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分类中作明确区分的糖类</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2016</w:t>
      </w:r>
      <w:r w:rsidRPr="00B75F0D">
        <w:rPr>
          <w:rFonts w:ascii="font-size:16px;line-height:1.5;" w:eastAsia="微软雅黑" w:hAnsi="font-size:16px;line-height:1.5;" w:cs="宋体"/>
          <w:color w:val="333333"/>
          <w:kern w:val="0"/>
          <w:sz w:val="27"/>
          <w:szCs w:val="27"/>
        </w:rPr>
        <w:t>年</w:t>
      </w:r>
      <w:r w:rsidRPr="00B75F0D">
        <w:rPr>
          <w:rFonts w:ascii="font-size:16px;line-height:1.5;" w:eastAsia="微软雅黑" w:hAnsi="font-size:16px;line-height:1.5;" w:cs="宋体"/>
          <w:color w:val="333333"/>
          <w:kern w:val="0"/>
          <w:sz w:val="27"/>
          <w:szCs w:val="27"/>
        </w:rPr>
        <w:t>1</w:t>
      </w:r>
      <w:r w:rsidRPr="00B75F0D">
        <w:rPr>
          <w:rFonts w:ascii="font-size:16px;line-height:1.5;" w:eastAsia="微软雅黑" w:hAnsi="font-size:16px;line-height:1.5;" w:cs="宋体"/>
          <w:color w:val="333333"/>
          <w:kern w:val="0"/>
          <w:sz w:val="27"/>
          <w:szCs w:val="27"/>
        </w:rPr>
        <w:t>月</w:t>
      </w:r>
      <w:r w:rsidRPr="00B75F0D">
        <w:rPr>
          <w:rFonts w:ascii="font-size:16px;line-height:1.5;" w:eastAsia="微软雅黑" w:hAnsi="font-size:16px;line-height:1.5;" w:cs="宋体"/>
          <w:color w:val="333333"/>
          <w:kern w:val="0"/>
          <w:sz w:val="27"/>
          <w:szCs w:val="27"/>
        </w:rPr>
        <w:t xml:space="preserve">22 </w:t>
      </w:r>
      <w:r w:rsidRPr="00B75F0D">
        <w:rPr>
          <w:rFonts w:ascii="font-size:16px;line-height:1.5;" w:eastAsia="微软雅黑" w:hAnsi="font-size:16px;line-height:1.5;" w:cs="宋体"/>
          <w:color w:val="333333"/>
          <w:kern w:val="0"/>
          <w:sz w:val="27"/>
          <w:szCs w:val="27"/>
        </w:rPr>
        <w:t>日，国家食品药品監</w:t>
      </w:r>
      <w:proofErr w:type="gramStart"/>
      <w:r w:rsidRPr="00B75F0D">
        <w:rPr>
          <w:rFonts w:ascii="font-size:16px;line-height:1.5;" w:eastAsia="微软雅黑" w:hAnsi="font-size:16px;line-height:1.5;" w:cs="宋体"/>
          <w:color w:val="333333"/>
          <w:kern w:val="0"/>
          <w:sz w:val="27"/>
          <w:szCs w:val="27"/>
        </w:rPr>
        <w:t>督管理</w:t>
      </w:r>
      <w:proofErr w:type="gramEnd"/>
      <w:r w:rsidRPr="00B75F0D">
        <w:rPr>
          <w:rFonts w:ascii="font-size:16px;line-height:1.5;" w:eastAsia="微软雅黑" w:hAnsi="font-size:16px;line-height:1.5;" w:cs="宋体"/>
          <w:color w:val="333333"/>
          <w:kern w:val="0"/>
          <w:sz w:val="27"/>
          <w:szCs w:val="27"/>
        </w:rPr>
        <w:t>总局关于公布食品生产许可分类目录的公告</w:t>
      </w:r>
      <w:r w:rsidRPr="00B75F0D">
        <w:rPr>
          <w:rFonts w:ascii="font-size:16px;line-height:1.5;" w:eastAsia="微软雅黑" w:hAnsi="font-size:16px;line-height:1.5;" w:cs="宋体"/>
          <w:color w:val="333333"/>
          <w:kern w:val="0"/>
          <w:sz w:val="27"/>
          <w:szCs w:val="27"/>
        </w:rPr>
        <w:t>(2016</w:t>
      </w:r>
      <w:r w:rsidRPr="00B75F0D">
        <w:rPr>
          <w:rFonts w:ascii="font-size:16px;line-height:1.5;" w:eastAsia="微软雅黑" w:hAnsi="font-size:16px;line-height:1.5;" w:cs="宋体"/>
          <w:color w:val="333333"/>
          <w:kern w:val="0"/>
          <w:sz w:val="27"/>
          <w:szCs w:val="27"/>
        </w:rPr>
        <w:t>年第</w:t>
      </w:r>
      <w:r w:rsidRPr="00B75F0D">
        <w:rPr>
          <w:rFonts w:ascii="font-size:16px;line-height:1.5;" w:eastAsia="微软雅黑" w:hAnsi="font-size:16px;line-height:1.5;" w:cs="宋体"/>
          <w:color w:val="333333"/>
          <w:kern w:val="0"/>
          <w:sz w:val="27"/>
          <w:szCs w:val="27"/>
        </w:rPr>
        <w:t>23</w:t>
      </w:r>
      <w:r w:rsidRPr="00B75F0D">
        <w:rPr>
          <w:rFonts w:ascii="font-size:16px;line-height:1.5;" w:eastAsia="微软雅黑" w:hAnsi="font-size:16px;line-height:1.5;" w:cs="宋体"/>
          <w:color w:val="333333"/>
          <w:kern w:val="0"/>
          <w:sz w:val="27"/>
          <w:szCs w:val="27"/>
        </w:rPr>
        <w:t>号</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中启用了新的生产许可分类目录，其第</w:t>
      </w:r>
      <w:r w:rsidRPr="00B75F0D">
        <w:rPr>
          <w:rFonts w:ascii="font-size:16px;line-height:1.5;" w:eastAsia="微软雅黑" w:hAnsi="font-size:16px;line-height:1.5;" w:cs="宋体"/>
          <w:color w:val="333333"/>
          <w:kern w:val="0"/>
          <w:sz w:val="27"/>
          <w:szCs w:val="27"/>
        </w:rPr>
        <w:t>2101</w:t>
      </w:r>
      <w:r w:rsidRPr="00B75F0D">
        <w:rPr>
          <w:rFonts w:ascii="font-size:16px;line-height:1.5;" w:eastAsia="微软雅黑" w:hAnsi="font-size:16px;line-height:1.5;" w:cs="宋体"/>
          <w:color w:val="333333"/>
          <w:kern w:val="0"/>
          <w:sz w:val="27"/>
          <w:szCs w:val="27"/>
        </w:rPr>
        <w:t>类对红糖与</w:t>
      </w:r>
      <w:proofErr w:type="gramStart"/>
      <w:r w:rsidRPr="00B75F0D">
        <w:rPr>
          <w:rFonts w:ascii="font-size:16px;line-height:1.5;" w:eastAsia="微软雅黑" w:hAnsi="font-size:16px;line-height:1.5;" w:cs="宋体"/>
          <w:color w:val="333333"/>
          <w:kern w:val="0"/>
          <w:sz w:val="27"/>
          <w:szCs w:val="27"/>
        </w:rPr>
        <w:t>赤</w:t>
      </w:r>
      <w:proofErr w:type="gramEnd"/>
      <w:r w:rsidRPr="00B75F0D">
        <w:rPr>
          <w:rFonts w:ascii="font-size:16px;line-height:1.5;" w:eastAsia="微软雅黑" w:hAnsi="font-size:16px;line-height:1.5;" w:cs="宋体"/>
          <w:color w:val="333333"/>
          <w:kern w:val="0"/>
          <w:sz w:val="27"/>
          <w:szCs w:val="27"/>
        </w:rPr>
        <w:t>砂糖进行了明确区分。虽然《食糖》</w:t>
      </w:r>
      <w:r w:rsidRPr="00B75F0D">
        <w:rPr>
          <w:rFonts w:ascii="font-size:16px;line-height:1.5;" w:eastAsia="微软雅黑" w:hAnsi="font-size:16px;line-height:1.5;" w:cs="宋体"/>
          <w:color w:val="333333"/>
          <w:kern w:val="0"/>
          <w:sz w:val="27"/>
          <w:szCs w:val="27"/>
        </w:rPr>
        <w:t xml:space="preserve">(GB13104-2014) </w:t>
      </w:r>
      <w:r w:rsidRPr="00B75F0D">
        <w:rPr>
          <w:rFonts w:ascii="font-size:16px;line-height:1.5;" w:eastAsia="微软雅黑" w:hAnsi="font-size:16px;line-height:1.5;" w:cs="宋体"/>
          <w:color w:val="333333"/>
          <w:kern w:val="0"/>
          <w:sz w:val="27"/>
          <w:szCs w:val="27"/>
        </w:rPr>
        <w:t>比</w:t>
      </w:r>
      <w:r w:rsidRPr="00B75F0D">
        <w:rPr>
          <w:rFonts w:ascii="font-size:16px;line-height:1.5;" w:eastAsia="微软雅黑" w:hAnsi="font-size:16px;line-height:1.5;" w:cs="宋体"/>
          <w:color w:val="333333"/>
          <w:kern w:val="0"/>
          <w:sz w:val="27"/>
          <w:szCs w:val="27"/>
        </w:rPr>
        <w:t>23 </w:t>
      </w:r>
      <w:r w:rsidRPr="00B75F0D">
        <w:rPr>
          <w:rFonts w:ascii="font-size:16px;line-height:1.5;" w:eastAsia="微软雅黑" w:hAnsi="font-size:16px;line-height:1.5;" w:cs="宋体"/>
          <w:color w:val="333333"/>
          <w:kern w:val="0"/>
          <w:sz w:val="27"/>
          <w:szCs w:val="27"/>
        </w:rPr>
        <w:t>号分类目录公布更早，但发证机关尚未统一标准，故从</w:t>
      </w:r>
      <w:proofErr w:type="gramStart"/>
      <w:r w:rsidRPr="00B75F0D">
        <w:rPr>
          <w:rFonts w:ascii="font-size:16px;line-height:1.5;" w:eastAsia="微软雅黑" w:hAnsi="font-size:16px;line-height:1.5;" w:cs="宋体"/>
          <w:color w:val="333333"/>
          <w:kern w:val="0"/>
          <w:sz w:val="27"/>
          <w:szCs w:val="27"/>
        </w:rPr>
        <w:t>有利于申证企业</w:t>
      </w:r>
      <w:proofErr w:type="gramEnd"/>
      <w:r w:rsidRPr="00B75F0D">
        <w:rPr>
          <w:rFonts w:ascii="font-size:16px;line-height:1.5;" w:eastAsia="微软雅黑" w:hAnsi="font-size:16px;line-height:1.5;" w:cs="宋体"/>
          <w:color w:val="333333"/>
          <w:kern w:val="0"/>
          <w:sz w:val="27"/>
          <w:szCs w:val="27"/>
        </w:rPr>
        <w:t>的角度进行解释，不宜将</w:t>
      </w:r>
      <w:r w:rsidRPr="00B75F0D">
        <w:rPr>
          <w:rFonts w:ascii="font-size:16px;line-height:1.5;" w:eastAsia="微软雅黑" w:hAnsi="font-size:16px;line-height:1.5;" w:cs="宋体"/>
          <w:color w:val="333333"/>
          <w:kern w:val="0"/>
          <w:sz w:val="27"/>
          <w:szCs w:val="27"/>
        </w:rPr>
        <w:t>GBl3104-2014 </w:t>
      </w:r>
      <w:r w:rsidRPr="00B75F0D">
        <w:rPr>
          <w:rFonts w:ascii="font-size:16px;line-height:1.5;" w:eastAsia="微软雅黑" w:hAnsi="font-size:16px;line-height:1.5;" w:cs="宋体"/>
          <w:color w:val="333333"/>
          <w:kern w:val="0"/>
          <w:sz w:val="27"/>
          <w:szCs w:val="27"/>
        </w:rPr>
        <w:t>的实施时间作为认定此类案件的直接依据。</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4.</w:t>
      </w:r>
      <w:r w:rsidRPr="00B75F0D">
        <w:rPr>
          <w:rFonts w:ascii="font-size:16px;line-height:1.5;" w:eastAsia="微软雅黑" w:hAnsi="font-size:16px;line-height:1.5;" w:cs="宋体"/>
          <w:color w:val="333333"/>
          <w:kern w:val="0"/>
          <w:sz w:val="27"/>
          <w:szCs w:val="27"/>
        </w:rPr>
        <w:t>处理原则。</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(1) </w:t>
      </w:r>
      <w:r w:rsidRPr="00B75F0D">
        <w:rPr>
          <w:rFonts w:ascii="font-size:16px;line-height:1.5;" w:eastAsia="微软雅黑" w:hAnsi="font-size:16px;line-height:1.5;" w:cs="宋体"/>
          <w:color w:val="333333"/>
          <w:kern w:val="0"/>
          <w:sz w:val="27"/>
          <w:szCs w:val="27"/>
        </w:rPr>
        <w:t>红糖与</w:t>
      </w:r>
      <w:proofErr w:type="gramStart"/>
      <w:r w:rsidRPr="00B75F0D">
        <w:rPr>
          <w:rFonts w:ascii="font-size:16px;line-height:1.5;" w:eastAsia="微软雅黑" w:hAnsi="font-size:16px;line-height:1.5;" w:cs="宋体"/>
          <w:color w:val="333333"/>
          <w:kern w:val="0"/>
          <w:sz w:val="27"/>
          <w:szCs w:val="27"/>
        </w:rPr>
        <w:t>赤</w:t>
      </w:r>
      <w:proofErr w:type="gramEnd"/>
      <w:r w:rsidRPr="00B75F0D">
        <w:rPr>
          <w:rFonts w:ascii="font-size:16px;line-height:1.5;" w:eastAsia="微软雅黑" w:hAnsi="font-size:16px;line-height:1.5;" w:cs="宋体"/>
          <w:color w:val="333333"/>
          <w:kern w:val="0"/>
          <w:sz w:val="27"/>
          <w:szCs w:val="27"/>
        </w:rPr>
        <w:t>砂糖。</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①.2016</w:t>
      </w:r>
      <w:r w:rsidRPr="00B75F0D">
        <w:rPr>
          <w:rFonts w:ascii="font-size:16px;line-height:1.5;" w:eastAsia="微软雅黑" w:hAnsi="font-size:16px;line-height:1.5;" w:cs="宋体"/>
          <w:color w:val="333333"/>
          <w:kern w:val="0"/>
          <w:sz w:val="27"/>
          <w:szCs w:val="27"/>
        </w:rPr>
        <w:t>年</w:t>
      </w:r>
      <w:r w:rsidRPr="00B75F0D">
        <w:rPr>
          <w:rFonts w:ascii="font-size:16px;line-height:1.5;" w:eastAsia="微软雅黑" w:hAnsi="font-size:16px;line-height:1.5;" w:cs="宋体"/>
          <w:color w:val="333333"/>
          <w:kern w:val="0"/>
          <w:sz w:val="27"/>
          <w:szCs w:val="27"/>
        </w:rPr>
        <w:t>1</w:t>
      </w:r>
      <w:r w:rsidRPr="00B75F0D">
        <w:rPr>
          <w:rFonts w:ascii="font-size:16px;line-height:1.5;" w:eastAsia="微软雅黑" w:hAnsi="font-size:16px;line-height:1.5;" w:cs="宋体"/>
          <w:color w:val="333333"/>
          <w:kern w:val="0"/>
          <w:sz w:val="27"/>
          <w:szCs w:val="27"/>
        </w:rPr>
        <w:t>月</w:t>
      </w:r>
      <w:r w:rsidRPr="00B75F0D">
        <w:rPr>
          <w:rFonts w:ascii="font-size:16px;line-height:1.5;" w:eastAsia="微软雅黑" w:hAnsi="font-size:16px;line-height:1.5;" w:cs="宋体"/>
          <w:color w:val="333333"/>
          <w:kern w:val="0"/>
          <w:sz w:val="27"/>
          <w:szCs w:val="27"/>
        </w:rPr>
        <w:t>22</w:t>
      </w:r>
      <w:r w:rsidRPr="00B75F0D">
        <w:rPr>
          <w:rFonts w:ascii="font-size:16px;line-height:1.5;" w:eastAsia="微软雅黑" w:hAnsi="font-size:16px;line-height:1.5;" w:cs="宋体"/>
          <w:color w:val="333333"/>
          <w:kern w:val="0"/>
          <w:sz w:val="27"/>
          <w:szCs w:val="27"/>
        </w:rPr>
        <w:t>日前生产的此类产品，不宜因产品名称与配料标注</w:t>
      </w:r>
      <w:r w:rsidRPr="00B75F0D">
        <w:rPr>
          <w:rFonts w:ascii="font-size:16px;line-height:1.5;" w:eastAsia="微软雅黑" w:hAnsi="font-size:16px;line-height:1.5;" w:cs="宋体"/>
          <w:color w:val="333333"/>
          <w:kern w:val="0"/>
          <w:sz w:val="27"/>
          <w:szCs w:val="27"/>
        </w:rPr>
        <w:lastRenderedPageBreak/>
        <w:t>的名称不一致认定为违法；</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②.2016</w:t>
      </w:r>
      <w:r w:rsidRPr="00B75F0D">
        <w:rPr>
          <w:rFonts w:ascii="font-size:16px;line-height:1.5;" w:eastAsia="微软雅黑" w:hAnsi="font-size:16px;line-height:1.5;" w:cs="宋体"/>
          <w:color w:val="333333"/>
          <w:kern w:val="0"/>
          <w:sz w:val="27"/>
          <w:szCs w:val="27"/>
        </w:rPr>
        <w:t>年</w:t>
      </w:r>
      <w:r w:rsidRPr="00B75F0D">
        <w:rPr>
          <w:rFonts w:ascii="font-size:16px;line-height:1.5;" w:eastAsia="微软雅黑" w:hAnsi="font-size:16px;line-height:1.5;" w:cs="宋体"/>
          <w:color w:val="333333"/>
          <w:kern w:val="0"/>
          <w:sz w:val="27"/>
          <w:szCs w:val="27"/>
        </w:rPr>
        <w:t>1</w:t>
      </w:r>
      <w:r w:rsidRPr="00B75F0D">
        <w:rPr>
          <w:rFonts w:ascii="font-size:16px;line-height:1.5;" w:eastAsia="微软雅黑" w:hAnsi="font-size:16px;line-height:1.5;" w:cs="宋体"/>
          <w:color w:val="333333"/>
          <w:kern w:val="0"/>
          <w:sz w:val="27"/>
          <w:szCs w:val="27"/>
        </w:rPr>
        <w:t>月</w:t>
      </w:r>
      <w:r w:rsidRPr="00B75F0D">
        <w:rPr>
          <w:rFonts w:ascii="font-size:16px;line-height:1.5;" w:eastAsia="微软雅黑" w:hAnsi="font-size:16px;line-height:1.5;" w:cs="宋体"/>
          <w:color w:val="333333"/>
          <w:kern w:val="0"/>
          <w:sz w:val="27"/>
          <w:szCs w:val="27"/>
        </w:rPr>
        <w:t>22</w:t>
      </w:r>
      <w:r w:rsidRPr="00B75F0D">
        <w:rPr>
          <w:rFonts w:ascii="font-size:16px;line-height:1.5;" w:eastAsia="微软雅黑" w:hAnsi="font-size:16px;line-height:1.5;" w:cs="宋体"/>
          <w:color w:val="333333"/>
          <w:kern w:val="0"/>
          <w:sz w:val="27"/>
          <w:szCs w:val="27"/>
        </w:rPr>
        <w:t>日后生产的此类产品，如出现产品名称与配料不一致的，但标签中对产品名称提示了食品类别的，不宜认定为违法；</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③.2016</w:t>
      </w:r>
      <w:r w:rsidRPr="00B75F0D">
        <w:rPr>
          <w:rFonts w:ascii="font-size:16px;line-height:1.5;" w:eastAsia="微软雅黑" w:hAnsi="font-size:16px;line-height:1.5;" w:cs="宋体"/>
          <w:color w:val="333333"/>
          <w:kern w:val="0"/>
          <w:sz w:val="27"/>
          <w:szCs w:val="27"/>
        </w:rPr>
        <w:t>年</w:t>
      </w:r>
      <w:r w:rsidRPr="00B75F0D">
        <w:rPr>
          <w:rFonts w:ascii="font-size:16px;line-height:1.5;" w:eastAsia="微软雅黑" w:hAnsi="font-size:16px;line-height:1.5;" w:cs="宋体"/>
          <w:color w:val="333333"/>
          <w:kern w:val="0"/>
          <w:sz w:val="27"/>
          <w:szCs w:val="27"/>
        </w:rPr>
        <w:t>1</w:t>
      </w:r>
      <w:r w:rsidRPr="00B75F0D">
        <w:rPr>
          <w:rFonts w:ascii="font-size:16px;line-height:1.5;" w:eastAsia="微软雅黑" w:hAnsi="font-size:16px;line-height:1.5;" w:cs="宋体"/>
          <w:color w:val="333333"/>
          <w:kern w:val="0"/>
          <w:sz w:val="27"/>
          <w:szCs w:val="27"/>
        </w:rPr>
        <w:t>月</w:t>
      </w:r>
      <w:r w:rsidRPr="00B75F0D">
        <w:rPr>
          <w:rFonts w:ascii="font-size:16px;line-height:1.5;" w:eastAsia="微软雅黑" w:hAnsi="font-size:16px;line-height:1.5;" w:cs="宋体"/>
          <w:color w:val="333333"/>
          <w:kern w:val="0"/>
          <w:sz w:val="27"/>
          <w:szCs w:val="27"/>
        </w:rPr>
        <w:t>22</w:t>
      </w:r>
      <w:r w:rsidRPr="00B75F0D">
        <w:rPr>
          <w:rFonts w:ascii="font-size:16px;line-height:1.5;" w:eastAsia="微软雅黑" w:hAnsi="font-size:16px;line-height:1.5;" w:cs="宋体"/>
          <w:color w:val="333333"/>
          <w:kern w:val="0"/>
          <w:sz w:val="27"/>
          <w:szCs w:val="27"/>
        </w:rPr>
        <w:t>日后生产的此类产品，如出现产品名称与配料不一致且未作提示的</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应当认为该情形属于容易引人误解的情形</w:t>
      </w:r>
      <w:r w:rsidRPr="00B75F0D">
        <w:rPr>
          <w:rFonts w:ascii="font-size:16px;line-height:1.5;" w:eastAsia="微软雅黑" w:hAnsi="font-size:16px;line-height:1.5;" w:cs="宋体"/>
          <w:color w:val="333333"/>
          <w:kern w:val="0"/>
          <w:sz w:val="27"/>
          <w:szCs w:val="27"/>
        </w:rPr>
        <w:t>:</w:t>
      </w:r>
    </w:p>
    <w:p w14:paraId="1897FF15"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④.2016</w:t>
      </w:r>
      <w:r w:rsidRPr="00B75F0D">
        <w:rPr>
          <w:rFonts w:ascii="font-size:16px;line-height:1.5;" w:eastAsia="微软雅黑" w:hAnsi="font-size:16px;line-height:1.5;" w:cs="宋体"/>
          <w:color w:val="333333"/>
          <w:kern w:val="0"/>
          <w:sz w:val="27"/>
          <w:szCs w:val="27"/>
        </w:rPr>
        <w:t>年</w:t>
      </w:r>
      <w:r w:rsidRPr="00B75F0D">
        <w:rPr>
          <w:rFonts w:ascii="font-size:16px;line-height:1.5;" w:eastAsia="微软雅黑" w:hAnsi="font-size:16px;line-height:1.5;" w:cs="宋体"/>
          <w:color w:val="333333"/>
          <w:kern w:val="0"/>
          <w:sz w:val="27"/>
          <w:szCs w:val="27"/>
        </w:rPr>
        <w:t>1</w:t>
      </w:r>
      <w:r w:rsidRPr="00B75F0D">
        <w:rPr>
          <w:rFonts w:ascii="font-size:16px;line-height:1.5;" w:eastAsia="微软雅黑" w:hAnsi="font-size:16px;line-height:1.5;" w:cs="宋体"/>
          <w:color w:val="333333"/>
          <w:kern w:val="0"/>
          <w:sz w:val="27"/>
          <w:szCs w:val="27"/>
        </w:rPr>
        <w:t>月</w:t>
      </w:r>
      <w:r w:rsidRPr="00B75F0D">
        <w:rPr>
          <w:rFonts w:ascii="font-size:16px;line-height:1.5;" w:eastAsia="微软雅黑" w:hAnsi="font-size:16px;line-height:1.5;" w:cs="宋体"/>
          <w:color w:val="333333"/>
          <w:kern w:val="0"/>
          <w:sz w:val="27"/>
          <w:szCs w:val="27"/>
        </w:rPr>
        <w:t xml:space="preserve">22 </w:t>
      </w:r>
      <w:r w:rsidRPr="00B75F0D">
        <w:rPr>
          <w:rFonts w:ascii="font-size:16px;line-height:1.5;" w:eastAsia="微软雅黑" w:hAnsi="font-size:16px;line-height:1.5;" w:cs="宋体"/>
          <w:color w:val="333333"/>
          <w:kern w:val="0"/>
          <w:sz w:val="27"/>
          <w:szCs w:val="27"/>
        </w:rPr>
        <w:t>日前办理的生产许可证，许可有效期到期，时间在该日期之后</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从</w:t>
      </w:r>
      <w:r w:rsidRPr="00B75F0D">
        <w:rPr>
          <w:rFonts w:ascii="font-size:16px;line-height:1.5;" w:eastAsia="微软雅黑" w:hAnsi="font-size:16px;line-height:1.5;" w:cs="宋体"/>
          <w:color w:val="333333"/>
          <w:kern w:val="0"/>
          <w:sz w:val="27"/>
          <w:szCs w:val="27"/>
        </w:rPr>
        <w:t>2016</w:t>
      </w:r>
      <w:r w:rsidRPr="00B75F0D">
        <w:rPr>
          <w:rFonts w:ascii="font-size:16px;line-height:1.5;" w:eastAsia="微软雅黑" w:hAnsi="font-size:16px;line-height:1.5;" w:cs="宋体"/>
          <w:color w:val="333333"/>
          <w:kern w:val="0"/>
          <w:sz w:val="27"/>
          <w:szCs w:val="27"/>
        </w:rPr>
        <w:t>年</w:t>
      </w:r>
      <w:r w:rsidRPr="00B75F0D">
        <w:rPr>
          <w:rFonts w:ascii="font-size:16px;line-height:1.5;" w:eastAsia="微软雅黑" w:hAnsi="font-size:16px;line-height:1.5;" w:cs="宋体"/>
          <w:color w:val="333333"/>
          <w:kern w:val="0"/>
          <w:sz w:val="27"/>
          <w:szCs w:val="27"/>
        </w:rPr>
        <w:t>1</w:t>
      </w:r>
      <w:r w:rsidRPr="00B75F0D">
        <w:rPr>
          <w:rFonts w:ascii="font-size:16px;line-height:1.5;" w:eastAsia="微软雅黑" w:hAnsi="font-size:16px;line-height:1.5;" w:cs="宋体"/>
          <w:color w:val="333333"/>
          <w:kern w:val="0"/>
          <w:sz w:val="27"/>
          <w:szCs w:val="27"/>
        </w:rPr>
        <w:t>月</w:t>
      </w:r>
      <w:r w:rsidRPr="00B75F0D">
        <w:rPr>
          <w:rFonts w:ascii="font-size:16px;line-height:1.5;" w:eastAsia="微软雅黑" w:hAnsi="font-size:16px;line-height:1.5;" w:cs="宋体"/>
          <w:color w:val="333333"/>
          <w:kern w:val="0"/>
          <w:sz w:val="27"/>
          <w:szCs w:val="27"/>
        </w:rPr>
        <w:t xml:space="preserve">22 </w:t>
      </w:r>
      <w:r w:rsidRPr="00B75F0D">
        <w:rPr>
          <w:rFonts w:ascii="font-size:16px;line-height:1.5;" w:eastAsia="微软雅黑" w:hAnsi="font-size:16px;line-height:1.5;" w:cs="宋体"/>
          <w:color w:val="333333"/>
          <w:kern w:val="0"/>
          <w:sz w:val="27"/>
          <w:szCs w:val="27"/>
        </w:rPr>
        <w:t>日至其生产许可证到期之日的期间应作为该生产企业的过渡期</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过渡期内生产的产品首次发现时不宜因产品名称与配料标注的名称不一致认定为违法。</w:t>
      </w:r>
    </w:p>
    <w:p w14:paraId="1A21889F" w14:textId="77777777" w:rsidR="00B75F0D" w:rsidRPr="00B75F0D" w:rsidRDefault="00B75F0D" w:rsidP="00B75F0D">
      <w:pPr>
        <w:widowControl/>
        <w:shd w:val="clear" w:color="auto" w:fill="FFFFFF"/>
        <w:spacing w:before="100" w:beforeAutospacing="1" w:after="100" w:afterAutospacing="1"/>
        <w:ind w:firstLine="105"/>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xml:space="preserve">(2) </w:t>
      </w:r>
      <w:r w:rsidRPr="00B75F0D">
        <w:rPr>
          <w:rFonts w:ascii="font-size:16px;line-height:1.5;" w:eastAsia="微软雅黑" w:hAnsi="font-size:16px;line-height:1.5;" w:cs="宋体"/>
          <w:color w:val="333333"/>
          <w:kern w:val="0"/>
          <w:sz w:val="27"/>
          <w:szCs w:val="27"/>
        </w:rPr>
        <w:t>红糖与黑糖、</w:t>
      </w:r>
      <w:proofErr w:type="gramStart"/>
      <w:r w:rsidRPr="00B75F0D">
        <w:rPr>
          <w:rFonts w:ascii="font-size:16px;line-height:1.5;" w:eastAsia="微软雅黑" w:hAnsi="font-size:16px;line-height:1.5;" w:cs="宋体"/>
          <w:color w:val="333333"/>
          <w:kern w:val="0"/>
          <w:sz w:val="27"/>
          <w:szCs w:val="27"/>
        </w:rPr>
        <w:t>赤</w:t>
      </w:r>
      <w:proofErr w:type="gramEnd"/>
      <w:r w:rsidRPr="00B75F0D">
        <w:rPr>
          <w:rFonts w:ascii="font-size:16px;line-height:1.5;" w:eastAsia="微软雅黑" w:hAnsi="font-size:16px;line-height:1.5;" w:cs="宋体"/>
          <w:color w:val="333333"/>
          <w:kern w:val="0"/>
          <w:sz w:val="27"/>
          <w:szCs w:val="27"/>
        </w:rPr>
        <w:t>砂糖与黑糖。黑糖并未纳入到</w:t>
      </w:r>
      <w:r w:rsidRPr="00B75F0D">
        <w:rPr>
          <w:rFonts w:ascii="font-size:16px;line-height:1.5;" w:eastAsia="微软雅黑" w:hAnsi="font-size:16px;line-height:1.5;" w:cs="宋体"/>
          <w:color w:val="333333"/>
          <w:kern w:val="0"/>
          <w:sz w:val="27"/>
          <w:szCs w:val="27"/>
        </w:rPr>
        <w:t xml:space="preserve">GB13104-2014 </w:t>
      </w:r>
      <w:r w:rsidRPr="00B75F0D">
        <w:rPr>
          <w:rFonts w:ascii="font-size:16px;line-height:1.5;" w:eastAsia="微软雅黑" w:hAnsi="font-size:16px;line-height:1.5;" w:cs="宋体"/>
          <w:color w:val="333333"/>
          <w:kern w:val="0"/>
          <w:sz w:val="27"/>
          <w:szCs w:val="27"/>
        </w:rPr>
        <w:t>中进行规范，其现有的执行标准为《黑糖》</w:t>
      </w:r>
      <w:r w:rsidRPr="00B75F0D">
        <w:rPr>
          <w:rFonts w:ascii="font-size:16px;line-height:1.5;" w:eastAsia="微软雅黑" w:hAnsi="font-size:16px;line-height:1.5;" w:cs="宋体"/>
          <w:color w:val="333333"/>
          <w:kern w:val="0"/>
          <w:sz w:val="27"/>
          <w:szCs w:val="27"/>
        </w:rPr>
        <w:t>(QB/T4567-2013 ),</w:t>
      </w:r>
      <w:r w:rsidRPr="00B75F0D">
        <w:rPr>
          <w:rFonts w:ascii="font-size:16px;line-height:1.5;" w:eastAsia="微软雅黑" w:hAnsi="font-size:16px;line-height:1.5;" w:cs="宋体"/>
          <w:color w:val="333333"/>
          <w:kern w:val="0"/>
          <w:sz w:val="27"/>
          <w:szCs w:val="27"/>
        </w:rPr>
        <w:t>与</w:t>
      </w:r>
      <w:r w:rsidRPr="00B75F0D">
        <w:rPr>
          <w:rFonts w:ascii="font-size:16px;line-height:1.5;" w:eastAsia="微软雅黑" w:hAnsi="font-size:16px;line-height:1.5;" w:cs="宋体"/>
          <w:color w:val="333333"/>
          <w:kern w:val="0"/>
          <w:sz w:val="27"/>
          <w:szCs w:val="27"/>
        </w:rPr>
        <w:t xml:space="preserve">GB13104-2014 </w:t>
      </w:r>
      <w:r w:rsidRPr="00B75F0D">
        <w:rPr>
          <w:rFonts w:ascii="font-size:16px;line-height:1.5;" w:eastAsia="微软雅黑" w:hAnsi="font-size:16px;line-height:1.5;" w:cs="宋体"/>
          <w:color w:val="333333"/>
          <w:kern w:val="0"/>
          <w:sz w:val="27"/>
          <w:szCs w:val="27"/>
        </w:rPr>
        <w:t>对</w:t>
      </w:r>
      <w:proofErr w:type="gramStart"/>
      <w:r w:rsidRPr="00B75F0D">
        <w:rPr>
          <w:rFonts w:ascii="font-size:16px;line-height:1.5;" w:eastAsia="微软雅黑" w:hAnsi="font-size:16px;line-height:1.5;" w:cs="宋体"/>
          <w:color w:val="333333"/>
          <w:kern w:val="0"/>
          <w:sz w:val="27"/>
          <w:szCs w:val="27"/>
        </w:rPr>
        <w:t>赤</w:t>
      </w:r>
      <w:proofErr w:type="gramEnd"/>
      <w:r w:rsidRPr="00B75F0D">
        <w:rPr>
          <w:rFonts w:ascii="font-size:16px;line-height:1.5;" w:eastAsia="微软雅黑" w:hAnsi="font-size:16px;line-height:1.5;" w:cs="宋体"/>
          <w:color w:val="333333"/>
          <w:kern w:val="0"/>
          <w:sz w:val="27"/>
          <w:szCs w:val="27"/>
        </w:rPr>
        <w:t>砂糖、红糖的定义相比较，</w:t>
      </w:r>
      <w:proofErr w:type="gramStart"/>
      <w:r w:rsidRPr="00B75F0D">
        <w:rPr>
          <w:rFonts w:ascii="font-size:16px;line-height:1.5;" w:eastAsia="微软雅黑" w:hAnsi="font-size:16px;line-height:1.5;" w:cs="宋体"/>
          <w:color w:val="333333"/>
          <w:kern w:val="0"/>
          <w:sz w:val="27"/>
          <w:szCs w:val="27"/>
        </w:rPr>
        <w:t>黑糖系</w:t>
      </w:r>
      <w:proofErr w:type="gramEnd"/>
      <w:r w:rsidRPr="00B75F0D">
        <w:rPr>
          <w:rFonts w:ascii="font-size:16px;line-height:1.5;" w:eastAsia="微软雅黑" w:hAnsi="font-size:16px;line-height:1.5;" w:cs="宋体"/>
          <w:color w:val="333333"/>
          <w:kern w:val="0"/>
          <w:sz w:val="27"/>
          <w:szCs w:val="27"/>
        </w:rPr>
        <w:t>与前二者不同的糖，应当认为该情形属于容易引人误解的情形。</w:t>
      </w:r>
    </w:p>
    <w:p w14:paraId="1382F3E3"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五</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关于营养成分标示值的案件。</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1.</w:t>
      </w:r>
      <w:r w:rsidRPr="00B75F0D">
        <w:rPr>
          <w:rFonts w:ascii="font-size:16px;line-height:1.5;" w:eastAsia="微软雅黑" w:hAnsi="font-size:16px;line-height:1.5;" w:cs="宋体"/>
          <w:color w:val="333333"/>
          <w:kern w:val="0"/>
          <w:sz w:val="27"/>
          <w:szCs w:val="27"/>
        </w:rPr>
        <w:t>涵盖情形。食品标签的营养成分表中的能量、脂肪、碳水化合物等物质的标示值不符合《预包装食品营养标签通则》</w:t>
      </w:r>
      <w:r w:rsidRPr="00B75F0D">
        <w:rPr>
          <w:rFonts w:ascii="font-size:16px;line-height:1.5;" w:eastAsia="微软雅黑" w:hAnsi="font-size:16px;line-height:1.5;" w:cs="宋体"/>
          <w:color w:val="333333"/>
          <w:kern w:val="0"/>
          <w:sz w:val="27"/>
          <w:szCs w:val="27"/>
        </w:rPr>
        <w:t>(GB28050-2011) </w:t>
      </w:r>
      <w:r w:rsidRPr="00B75F0D">
        <w:rPr>
          <w:rFonts w:ascii="font-size:16px;line-height:1.5;" w:eastAsia="微软雅黑" w:hAnsi="font-size:16px;line-height:1.5;" w:cs="宋体"/>
          <w:color w:val="333333"/>
          <w:kern w:val="0"/>
          <w:sz w:val="27"/>
          <w:szCs w:val="27"/>
        </w:rPr>
        <w:t>的规定。</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2.</w:t>
      </w:r>
      <w:r w:rsidRPr="00B75F0D">
        <w:rPr>
          <w:rFonts w:ascii="font-size:16px;line-height:1.5;" w:eastAsia="微软雅黑" w:hAnsi="font-size:16px;line-height:1.5;" w:cs="宋体"/>
          <w:color w:val="333333"/>
          <w:kern w:val="0"/>
          <w:sz w:val="27"/>
          <w:szCs w:val="27"/>
        </w:rPr>
        <w:t>投诉较多的产品。花粉类产品，茶瓜子、开心果类产品等。</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3.</w:t>
      </w:r>
      <w:r w:rsidRPr="00B75F0D">
        <w:rPr>
          <w:rFonts w:ascii="font-size:16px;line-height:1.5;" w:eastAsia="微软雅黑" w:hAnsi="font-size:16px;line-height:1.5;" w:cs="宋体"/>
          <w:color w:val="333333"/>
          <w:kern w:val="0"/>
          <w:sz w:val="27"/>
          <w:szCs w:val="27"/>
        </w:rPr>
        <w:t>计算方法。</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(1)</w:t>
      </w:r>
      <w:r w:rsidRPr="00B75F0D">
        <w:rPr>
          <w:rFonts w:ascii="font-size:16px;line-height:1.5;" w:eastAsia="微软雅黑" w:hAnsi="font-size:16px;line-height:1.5;" w:cs="宋体"/>
          <w:color w:val="333333"/>
          <w:kern w:val="0"/>
          <w:sz w:val="27"/>
          <w:szCs w:val="27"/>
        </w:rPr>
        <w:t>能量值计算。</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《预包装食品营养标签通则》</w:t>
      </w:r>
      <w:r w:rsidRPr="00B75F0D">
        <w:rPr>
          <w:rFonts w:ascii="font-size:16px;line-height:1.5;" w:eastAsia="微软雅黑" w:hAnsi="font-size:16px;line-height:1.5;" w:cs="宋体"/>
          <w:color w:val="333333"/>
          <w:kern w:val="0"/>
          <w:sz w:val="27"/>
          <w:szCs w:val="27"/>
        </w:rPr>
        <w:t>(GB28050-2011) </w:t>
      </w:r>
      <w:r w:rsidRPr="00B75F0D">
        <w:rPr>
          <w:rFonts w:ascii="font-size:16px;line-height:1.5;" w:eastAsia="微软雅黑" w:hAnsi="font-size:16px;line-height:1.5;" w:cs="宋体"/>
          <w:color w:val="333333"/>
          <w:kern w:val="0"/>
          <w:sz w:val="27"/>
          <w:szCs w:val="27"/>
        </w:rPr>
        <w:t>问答</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修订版</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指出，营</w:t>
      </w:r>
      <w:r w:rsidRPr="00B75F0D">
        <w:rPr>
          <w:rFonts w:ascii="font-size:16px;line-height:1.5;" w:eastAsia="微软雅黑" w:hAnsi="font-size:16px;line-height:1.5;" w:cs="宋体"/>
          <w:color w:val="333333"/>
          <w:kern w:val="0"/>
          <w:sz w:val="27"/>
          <w:szCs w:val="27"/>
        </w:rPr>
        <w:lastRenderedPageBreak/>
        <w:t>养标签上标示的能量主要由计算法获得，即蛋白质、脂肪、碳水化合物等产能营养素的含量乘以各自相应的能量系数并进行加和</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当产品营养标签中标示核心营养素以外的其他产能营养素如膳食纤维等，还应计算膳食纤维等提供的能量。未标注其他产能营养素时</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在计算能量时可以不包括其提供的能量。结合</w:t>
      </w:r>
      <w:r w:rsidRPr="00B75F0D">
        <w:rPr>
          <w:rFonts w:ascii="font-size:16px;line-height:1.5;" w:eastAsia="微软雅黑" w:hAnsi="font-size:16px;line-height:1.5;" w:cs="宋体"/>
          <w:color w:val="333333"/>
          <w:kern w:val="0"/>
          <w:sz w:val="27"/>
          <w:szCs w:val="27"/>
        </w:rPr>
        <w:t>GB28050-2011“</w:t>
      </w:r>
      <w:r w:rsidRPr="00B75F0D">
        <w:rPr>
          <w:rFonts w:ascii="font-size:16px;line-height:1.5;" w:eastAsia="微软雅黑" w:hAnsi="font-size:16px;line-height:1.5;" w:cs="宋体"/>
          <w:color w:val="333333"/>
          <w:kern w:val="0"/>
          <w:sz w:val="27"/>
          <w:szCs w:val="27"/>
        </w:rPr>
        <w:t>食品中的能量允许误差范围为</w:t>
      </w:r>
      <w:r w:rsidRPr="00B75F0D">
        <w:rPr>
          <w:rFonts w:ascii="font-size:16px;line-height:1.5;" w:eastAsia="微软雅黑" w:hAnsi="font-size:16px;line-height:1.5;" w:cs="宋体"/>
          <w:color w:val="333333"/>
          <w:kern w:val="0"/>
          <w:sz w:val="27"/>
          <w:szCs w:val="27"/>
        </w:rPr>
        <w:t>:“ ≤120%</w:t>
      </w:r>
      <w:r w:rsidRPr="00B75F0D">
        <w:rPr>
          <w:rFonts w:ascii="font-size:16px;line-height:1.5;" w:eastAsia="微软雅黑" w:hAnsi="font-size:16px;line-height:1.5;" w:cs="宋体"/>
          <w:color w:val="333333"/>
          <w:kern w:val="0"/>
          <w:sz w:val="27"/>
          <w:szCs w:val="27"/>
        </w:rPr>
        <w:t>标示值</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的规定，产品通过计量检测或根据下表计算出的能量值应当小于或等于产品标签中标示值的</w:t>
      </w:r>
      <w:r w:rsidRPr="00B75F0D">
        <w:rPr>
          <w:rFonts w:ascii="font-size:16px;line-height:1.5;" w:eastAsia="微软雅黑" w:hAnsi="font-size:16px;line-height:1.5;" w:cs="宋体"/>
          <w:color w:val="333333"/>
          <w:kern w:val="0"/>
          <w:sz w:val="27"/>
          <w:szCs w:val="27"/>
        </w:rPr>
        <w:t>120%</w:t>
      </w:r>
      <w:r w:rsidRPr="00B75F0D">
        <w:rPr>
          <w:rFonts w:ascii="font-size:16px;line-height:1.5;" w:eastAsia="微软雅黑" w:hAnsi="font-size:16px;line-height:1.5;" w:cs="宋体"/>
          <w:color w:val="333333"/>
          <w:kern w:val="0"/>
          <w:sz w:val="27"/>
          <w:szCs w:val="27"/>
        </w:rPr>
        <w:t>。</w:t>
      </w:r>
    </w:p>
    <w:p w14:paraId="21D300D1" w14:textId="77777777" w:rsidR="00B75F0D" w:rsidRPr="00B75F0D" w:rsidRDefault="00B75F0D" w:rsidP="00B75F0D">
      <w:pPr>
        <w:widowControl/>
        <w:shd w:val="clear" w:color="auto" w:fill="FFFFFF"/>
        <w:spacing w:before="100" w:beforeAutospacing="1" w:after="100" w:afterAutospacing="1"/>
        <w:jc w:val="center"/>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b/>
          <w:bCs/>
          <w:color w:val="333333"/>
          <w:kern w:val="0"/>
          <w:sz w:val="27"/>
          <w:szCs w:val="27"/>
        </w:rPr>
        <w:t>食品中产能营养素的能量折算系数</w:t>
      </w:r>
    </w:p>
    <w:tbl>
      <w:tblPr>
        <w:tblW w:w="8086" w:type="dxa"/>
        <w:shd w:val="clear" w:color="auto" w:fill="FFFFFF"/>
        <w:tblCellMar>
          <w:top w:w="15" w:type="dxa"/>
          <w:left w:w="15" w:type="dxa"/>
          <w:bottom w:w="15" w:type="dxa"/>
          <w:right w:w="15" w:type="dxa"/>
        </w:tblCellMar>
        <w:tblLook w:val="04A0" w:firstRow="1" w:lastRow="0" w:firstColumn="1" w:lastColumn="0" w:noHBand="0" w:noVBand="1"/>
      </w:tblPr>
      <w:tblGrid>
        <w:gridCol w:w="1990"/>
        <w:gridCol w:w="2041"/>
        <w:gridCol w:w="2014"/>
        <w:gridCol w:w="2041"/>
      </w:tblGrid>
      <w:tr w:rsidR="00B75F0D" w:rsidRPr="00B75F0D" w14:paraId="2BB57EC8" w14:textId="77777777" w:rsidTr="00B75F0D">
        <w:tc>
          <w:tcPr>
            <w:tcW w:w="2520" w:type="dxa"/>
            <w:tcBorders>
              <w:top w:val="nil"/>
              <w:left w:val="nil"/>
              <w:bottom w:val="nil"/>
              <w:right w:val="nil"/>
            </w:tcBorders>
            <w:shd w:val="clear" w:color="auto" w:fill="FFFFFF"/>
            <w:tcMar>
              <w:top w:w="0" w:type="dxa"/>
              <w:left w:w="0" w:type="dxa"/>
              <w:bottom w:w="0" w:type="dxa"/>
              <w:right w:w="0" w:type="dxa"/>
            </w:tcMar>
            <w:hideMark/>
          </w:tcPr>
          <w:p w14:paraId="36D311FE" w14:textId="77777777" w:rsidR="00B75F0D" w:rsidRPr="00B75F0D" w:rsidRDefault="00B75F0D" w:rsidP="00B75F0D">
            <w:pPr>
              <w:widowControl/>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成分</w:t>
            </w:r>
          </w:p>
        </w:tc>
        <w:tc>
          <w:tcPr>
            <w:tcW w:w="2520" w:type="dxa"/>
            <w:tcBorders>
              <w:top w:val="nil"/>
              <w:left w:val="nil"/>
              <w:bottom w:val="nil"/>
              <w:right w:val="nil"/>
            </w:tcBorders>
            <w:shd w:val="clear" w:color="auto" w:fill="FFFFFF"/>
            <w:tcMar>
              <w:top w:w="0" w:type="dxa"/>
              <w:left w:w="0" w:type="dxa"/>
              <w:bottom w:w="0" w:type="dxa"/>
              <w:right w:w="0" w:type="dxa"/>
            </w:tcMar>
            <w:hideMark/>
          </w:tcPr>
          <w:p w14:paraId="5A65FC5D" w14:textId="77777777" w:rsidR="00B75F0D" w:rsidRPr="00B75F0D" w:rsidRDefault="00B75F0D" w:rsidP="00B75F0D">
            <w:pPr>
              <w:widowControl/>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kJ/g</w:t>
            </w:r>
          </w:p>
        </w:tc>
        <w:tc>
          <w:tcPr>
            <w:tcW w:w="2520" w:type="dxa"/>
            <w:tcBorders>
              <w:top w:val="nil"/>
              <w:left w:val="nil"/>
              <w:bottom w:val="nil"/>
              <w:right w:val="nil"/>
            </w:tcBorders>
            <w:shd w:val="clear" w:color="auto" w:fill="FFFFFF"/>
            <w:tcMar>
              <w:top w:w="0" w:type="dxa"/>
              <w:left w:w="0" w:type="dxa"/>
              <w:bottom w:w="0" w:type="dxa"/>
              <w:right w:w="0" w:type="dxa"/>
            </w:tcMar>
            <w:hideMark/>
          </w:tcPr>
          <w:p w14:paraId="158F5361" w14:textId="77777777" w:rsidR="00B75F0D" w:rsidRPr="00B75F0D" w:rsidRDefault="00B75F0D" w:rsidP="00B75F0D">
            <w:pPr>
              <w:widowControl/>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成分</w:t>
            </w:r>
          </w:p>
        </w:tc>
        <w:tc>
          <w:tcPr>
            <w:tcW w:w="2520" w:type="dxa"/>
            <w:tcBorders>
              <w:top w:val="nil"/>
              <w:left w:val="nil"/>
              <w:bottom w:val="nil"/>
              <w:right w:val="nil"/>
            </w:tcBorders>
            <w:shd w:val="clear" w:color="auto" w:fill="FFFFFF"/>
            <w:tcMar>
              <w:top w:w="0" w:type="dxa"/>
              <w:left w:w="0" w:type="dxa"/>
              <w:bottom w:w="0" w:type="dxa"/>
              <w:right w:w="0" w:type="dxa"/>
            </w:tcMar>
            <w:hideMark/>
          </w:tcPr>
          <w:p w14:paraId="367E70AD" w14:textId="77777777" w:rsidR="00B75F0D" w:rsidRPr="00B75F0D" w:rsidRDefault="00B75F0D" w:rsidP="00B75F0D">
            <w:pPr>
              <w:widowControl/>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kJ/g</w:t>
            </w:r>
          </w:p>
        </w:tc>
      </w:tr>
      <w:tr w:rsidR="00B75F0D" w:rsidRPr="00B75F0D" w14:paraId="6C8EB9BA" w14:textId="77777777" w:rsidTr="00B75F0D">
        <w:tc>
          <w:tcPr>
            <w:tcW w:w="2520" w:type="dxa"/>
            <w:tcBorders>
              <w:top w:val="nil"/>
              <w:left w:val="nil"/>
              <w:bottom w:val="nil"/>
              <w:right w:val="nil"/>
            </w:tcBorders>
            <w:shd w:val="clear" w:color="auto" w:fill="FFFFFF"/>
            <w:tcMar>
              <w:top w:w="0" w:type="dxa"/>
              <w:left w:w="0" w:type="dxa"/>
              <w:bottom w:w="0" w:type="dxa"/>
              <w:right w:w="0" w:type="dxa"/>
            </w:tcMar>
            <w:hideMark/>
          </w:tcPr>
          <w:p w14:paraId="6CCD81A4" w14:textId="77777777" w:rsidR="00B75F0D" w:rsidRPr="00B75F0D" w:rsidRDefault="00B75F0D" w:rsidP="00B75F0D">
            <w:pPr>
              <w:widowControl/>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蛋白质</w:t>
            </w:r>
          </w:p>
        </w:tc>
        <w:tc>
          <w:tcPr>
            <w:tcW w:w="2520" w:type="dxa"/>
            <w:tcBorders>
              <w:top w:val="nil"/>
              <w:left w:val="nil"/>
              <w:bottom w:val="nil"/>
              <w:right w:val="nil"/>
            </w:tcBorders>
            <w:shd w:val="clear" w:color="auto" w:fill="FFFFFF"/>
            <w:tcMar>
              <w:top w:w="0" w:type="dxa"/>
              <w:left w:w="0" w:type="dxa"/>
              <w:bottom w:w="0" w:type="dxa"/>
              <w:right w:w="0" w:type="dxa"/>
            </w:tcMar>
            <w:hideMark/>
          </w:tcPr>
          <w:p w14:paraId="22F35941" w14:textId="77777777" w:rsidR="00B75F0D" w:rsidRPr="00B75F0D" w:rsidRDefault="00B75F0D" w:rsidP="00B75F0D">
            <w:pPr>
              <w:widowControl/>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17</w:t>
            </w:r>
          </w:p>
        </w:tc>
        <w:tc>
          <w:tcPr>
            <w:tcW w:w="2520" w:type="dxa"/>
            <w:tcBorders>
              <w:top w:val="nil"/>
              <w:left w:val="nil"/>
              <w:bottom w:val="nil"/>
              <w:right w:val="nil"/>
            </w:tcBorders>
            <w:shd w:val="clear" w:color="auto" w:fill="FFFFFF"/>
            <w:tcMar>
              <w:top w:w="0" w:type="dxa"/>
              <w:left w:w="0" w:type="dxa"/>
              <w:bottom w:w="0" w:type="dxa"/>
              <w:right w:w="0" w:type="dxa"/>
            </w:tcMar>
            <w:hideMark/>
          </w:tcPr>
          <w:p w14:paraId="6CB3E302" w14:textId="77777777" w:rsidR="00B75F0D" w:rsidRPr="00B75F0D" w:rsidRDefault="00B75F0D" w:rsidP="00B75F0D">
            <w:pPr>
              <w:widowControl/>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乙醇</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酒精</w:t>
            </w:r>
            <w:r w:rsidRPr="00B75F0D">
              <w:rPr>
                <w:rFonts w:ascii="font-size:16px;line-height:1.5;" w:eastAsia="微软雅黑" w:hAnsi="font-size:16px;line-height:1.5;" w:cs="宋体"/>
                <w:color w:val="333333"/>
                <w:kern w:val="0"/>
                <w:sz w:val="27"/>
                <w:szCs w:val="27"/>
              </w:rPr>
              <w:t>)</w:t>
            </w:r>
          </w:p>
        </w:tc>
        <w:tc>
          <w:tcPr>
            <w:tcW w:w="2520" w:type="dxa"/>
            <w:tcBorders>
              <w:top w:val="nil"/>
              <w:left w:val="nil"/>
              <w:bottom w:val="nil"/>
              <w:right w:val="nil"/>
            </w:tcBorders>
            <w:shd w:val="clear" w:color="auto" w:fill="FFFFFF"/>
            <w:tcMar>
              <w:top w:w="0" w:type="dxa"/>
              <w:left w:w="0" w:type="dxa"/>
              <w:bottom w:w="0" w:type="dxa"/>
              <w:right w:w="0" w:type="dxa"/>
            </w:tcMar>
            <w:hideMark/>
          </w:tcPr>
          <w:p w14:paraId="4C18C01B" w14:textId="77777777" w:rsidR="00B75F0D" w:rsidRPr="00B75F0D" w:rsidRDefault="00B75F0D" w:rsidP="00B75F0D">
            <w:pPr>
              <w:widowControl/>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29</w:t>
            </w:r>
          </w:p>
        </w:tc>
      </w:tr>
      <w:tr w:rsidR="00B75F0D" w:rsidRPr="00B75F0D" w14:paraId="2D8BE304" w14:textId="77777777" w:rsidTr="00B75F0D">
        <w:tc>
          <w:tcPr>
            <w:tcW w:w="2520" w:type="dxa"/>
            <w:tcBorders>
              <w:top w:val="nil"/>
              <w:left w:val="nil"/>
              <w:bottom w:val="nil"/>
              <w:right w:val="nil"/>
            </w:tcBorders>
            <w:shd w:val="clear" w:color="auto" w:fill="FFFFFF"/>
            <w:tcMar>
              <w:top w:w="0" w:type="dxa"/>
              <w:left w:w="0" w:type="dxa"/>
              <w:bottom w:w="0" w:type="dxa"/>
              <w:right w:w="0" w:type="dxa"/>
            </w:tcMar>
            <w:hideMark/>
          </w:tcPr>
          <w:p w14:paraId="3A780051" w14:textId="77777777" w:rsidR="00B75F0D" w:rsidRPr="00B75F0D" w:rsidRDefault="00B75F0D" w:rsidP="00B75F0D">
            <w:pPr>
              <w:widowControl/>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脂肪</w:t>
            </w:r>
          </w:p>
        </w:tc>
        <w:tc>
          <w:tcPr>
            <w:tcW w:w="2520" w:type="dxa"/>
            <w:tcBorders>
              <w:top w:val="nil"/>
              <w:left w:val="nil"/>
              <w:bottom w:val="nil"/>
              <w:right w:val="nil"/>
            </w:tcBorders>
            <w:shd w:val="clear" w:color="auto" w:fill="FFFFFF"/>
            <w:tcMar>
              <w:top w:w="0" w:type="dxa"/>
              <w:left w:w="0" w:type="dxa"/>
              <w:bottom w:w="0" w:type="dxa"/>
              <w:right w:w="0" w:type="dxa"/>
            </w:tcMar>
            <w:hideMark/>
          </w:tcPr>
          <w:p w14:paraId="28B1050F" w14:textId="77777777" w:rsidR="00B75F0D" w:rsidRPr="00B75F0D" w:rsidRDefault="00B75F0D" w:rsidP="00B75F0D">
            <w:pPr>
              <w:widowControl/>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37</w:t>
            </w:r>
          </w:p>
        </w:tc>
        <w:tc>
          <w:tcPr>
            <w:tcW w:w="2520" w:type="dxa"/>
            <w:tcBorders>
              <w:top w:val="nil"/>
              <w:left w:val="nil"/>
              <w:bottom w:val="nil"/>
              <w:right w:val="nil"/>
            </w:tcBorders>
            <w:shd w:val="clear" w:color="auto" w:fill="FFFFFF"/>
            <w:tcMar>
              <w:top w:w="0" w:type="dxa"/>
              <w:left w:w="0" w:type="dxa"/>
              <w:bottom w:w="0" w:type="dxa"/>
              <w:right w:w="0" w:type="dxa"/>
            </w:tcMar>
            <w:hideMark/>
          </w:tcPr>
          <w:p w14:paraId="2A1BDDED" w14:textId="77777777" w:rsidR="00B75F0D" w:rsidRPr="00B75F0D" w:rsidRDefault="00B75F0D" w:rsidP="00B75F0D">
            <w:pPr>
              <w:widowControl/>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有机酸</w:t>
            </w:r>
          </w:p>
        </w:tc>
        <w:tc>
          <w:tcPr>
            <w:tcW w:w="2520" w:type="dxa"/>
            <w:tcBorders>
              <w:top w:val="nil"/>
              <w:left w:val="nil"/>
              <w:bottom w:val="nil"/>
              <w:right w:val="nil"/>
            </w:tcBorders>
            <w:shd w:val="clear" w:color="auto" w:fill="FFFFFF"/>
            <w:tcMar>
              <w:top w:w="0" w:type="dxa"/>
              <w:left w:w="0" w:type="dxa"/>
              <w:bottom w:w="0" w:type="dxa"/>
              <w:right w:w="0" w:type="dxa"/>
            </w:tcMar>
            <w:hideMark/>
          </w:tcPr>
          <w:p w14:paraId="0A1D9FE6" w14:textId="77777777" w:rsidR="00B75F0D" w:rsidRPr="00B75F0D" w:rsidRDefault="00B75F0D" w:rsidP="00B75F0D">
            <w:pPr>
              <w:widowControl/>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13</w:t>
            </w:r>
          </w:p>
        </w:tc>
      </w:tr>
      <w:tr w:rsidR="00B75F0D" w:rsidRPr="00B75F0D" w14:paraId="096CC72B" w14:textId="77777777" w:rsidTr="00B75F0D">
        <w:tc>
          <w:tcPr>
            <w:tcW w:w="2520" w:type="dxa"/>
            <w:tcBorders>
              <w:top w:val="nil"/>
              <w:left w:val="nil"/>
              <w:bottom w:val="nil"/>
              <w:right w:val="nil"/>
            </w:tcBorders>
            <w:shd w:val="clear" w:color="auto" w:fill="FFFFFF"/>
            <w:tcMar>
              <w:top w:w="0" w:type="dxa"/>
              <w:left w:w="0" w:type="dxa"/>
              <w:bottom w:w="0" w:type="dxa"/>
              <w:right w:w="0" w:type="dxa"/>
            </w:tcMar>
            <w:hideMark/>
          </w:tcPr>
          <w:p w14:paraId="6A90ED96" w14:textId="77777777" w:rsidR="00B75F0D" w:rsidRPr="00B75F0D" w:rsidRDefault="00B75F0D" w:rsidP="00B75F0D">
            <w:pPr>
              <w:widowControl/>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碳水化合物</w:t>
            </w:r>
          </w:p>
        </w:tc>
        <w:tc>
          <w:tcPr>
            <w:tcW w:w="2520" w:type="dxa"/>
            <w:tcBorders>
              <w:top w:val="nil"/>
              <w:left w:val="nil"/>
              <w:bottom w:val="nil"/>
              <w:right w:val="nil"/>
            </w:tcBorders>
            <w:shd w:val="clear" w:color="auto" w:fill="FFFFFF"/>
            <w:tcMar>
              <w:top w:w="0" w:type="dxa"/>
              <w:left w:w="0" w:type="dxa"/>
              <w:bottom w:w="0" w:type="dxa"/>
              <w:right w:w="0" w:type="dxa"/>
            </w:tcMar>
            <w:hideMark/>
          </w:tcPr>
          <w:p w14:paraId="54F78B3A" w14:textId="77777777" w:rsidR="00B75F0D" w:rsidRPr="00B75F0D" w:rsidRDefault="00B75F0D" w:rsidP="00B75F0D">
            <w:pPr>
              <w:widowControl/>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17</w:t>
            </w:r>
          </w:p>
        </w:tc>
        <w:tc>
          <w:tcPr>
            <w:tcW w:w="2520" w:type="dxa"/>
            <w:tcBorders>
              <w:top w:val="nil"/>
              <w:left w:val="nil"/>
              <w:bottom w:val="nil"/>
              <w:right w:val="nil"/>
            </w:tcBorders>
            <w:shd w:val="clear" w:color="auto" w:fill="FFFFFF"/>
            <w:tcMar>
              <w:top w:w="0" w:type="dxa"/>
              <w:left w:w="0" w:type="dxa"/>
              <w:bottom w:w="0" w:type="dxa"/>
              <w:right w:w="0" w:type="dxa"/>
            </w:tcMar>
            <w:hideMark/>
          </w:tcPr>
          <w:p w14:paraId="37A513F3" w14:textId="77777777" w:rsidR="00B75F0D" w:rsidRPr="00B75F0D" w:rsidRDefault="00B75F0D" w:rsidP="00B75F0D">
            <w:pPr>
              <w:widowControl/>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膳食纤维</w:t>
            </w:r>
          </w:p>
        </w:tc>
        <w:tc>
          <w:tcPr>
            <w:tcW w:w="2520" w:type="dxa"/>
            <w:tcBorders>
              <w:top w:val="nil"/>
              <w:left w:val="nil"/>
              <w:bottom w:val="nil"/>
              <w:right w:val="nil"/>
            </w:tcBorders>
            <w:shd w:val="clear" w:color="auto" w:fill="FFFFFF"/>
            <w:tcMar>
              <w:top w:w="0" w:type="dxa"/>
              <w:left w:w="0" w:type="dxa"/>
              <w:bottom w:w="0" w:type="dxa"/>
              <w:right w:w="0" w:type="dxa"/>
            </w:tcMar>
            <w:hideMark/>
          </w:tcPr>
          <w:p w14:paraId="52FB2FFC" w14:textId="77777777" w:rsidR="00B75F0D" w:rsidRPr="00B75F0D" w:rsidRDefault="00B75F0D" w:rsidP="00B75F0D">
            <w:pPr>
              <w:widowControl/>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8  </w:t>
            </w:r>
          </w:p>
        </w:tc>
      </w:tr>
    </w:tbl>
    <w:p w14:paraId="2D217053"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w:t>
      </w:r>
    </w:p>
    <w:p w14:paraId="76DEE05D"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xml:space="preserve">(2) </w:t>
      </w:r>
      <w:r w:rsidRPr="00B75F0D">
        <w:rPr>
          <w:rFonts w:ascii="font-size:16px;line-height:1.5;" w:eastAsia="微软雅黑" w:hAnsi="font-size:16px;line-height:1.5;" w:cs="宋体"/>
          <w:color w:val="333333"/>
          <w:kern w:val="0"/>
          <w:sz w:val="27"/>
          <w:szCs w:val="27"/>
        </w:rPr>
        <w:t>脂肪含量计算。</w:t>
      </w:r>
      <w:r w:rsidRPr="00B75F0D">
        <w:rPr>
          <w:rFonts w:ascii="font-size:16px;line-height:1.5;" w:eastAsia="微软雅黑" w:hAnsi="font-size:16px;line-height:1.5;" w:cs="宋体"/>
          <w:color w:val="333333"/>
          <w:kern w:val="0"/>
          <w:sz w:val="27"/>
          <w:szCs w:val="27"/>
        </w:rPr>
        <w:t>GB28050-2011</w:t>
      </w:r>
      <w:r w:rsidRPr="00B75F0D">
        <w:rPr>
          <w:rFonts w:ascii="font-size:16px;line-height:1.5;" w:eastAsia="微软雅黑" w:hAnsi="font-size:16px;line-height:1.5;" w:cs="宋体"/>
          <w:color w:val="333333"/>
          <w:kern w:val="0"/>
          <w:sz w:val="27"/>
          <w:szCs w:val="27"/>
        </w:rPr>
        <w:t>问答指出</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脂肪的含量可通过测定粗脂肪</w:t>
      </w:r>
      <w:r w:rsidRPr="00B75F0D">
        <w:rPr>
          <w:rFonts w:ascii="font-size:16px;line-height:1.5;" w:eastAsia="微软雅黑" w:hAnsi="font-size:16px;line-height:1.5;" w:cs="宋体"/>
          <w:color w:val="333333"/>
          <w:kern w:val="0"/>
          <w:sz w:val="27"/>
          <w:szCs w:val="27"/>
        </w:rPr>
        <w:t xml:space="preserve">(crude fat) </w:t>
      </w:r>
      <w:r w:rsidRPr="00B75F0D">
        <w:rPr>
          <w:rFonts w:ascii="font-size:16px;line-height:1.5;" w:eastAsia="微软雅黑" w:hAnsi="font-size:16px;line-height:1.5;" w:cs="宋体"/>
          <w:color w:val="333333"/>
          <w:kern w:val="0"/>
          <w:sz w:val="27"/>
          <w:szCs w:val="27"/>
        </w:rPr>
        <w:t>或总脂肪</w:t>
      </w:r>
      <w:r w:rsidRPr="00B75F0D">
        <w:rPr>
          <w:rFonts w:ascii="font-size:16px;line-height:1.5;" w:eastAsia="微软雅黑" w:hAnsi="font-size:16px;line-height:1.5;" w:cs="宋体"/>
          <w:color w:val="333333"/>
          <w:kern w:val="0"/>
          <w:sz w:val="27"/>
          <w:szCs w:val="27"/>
        </w:rPr>
        <w:t xml:space="preserve">(total fat) </w:t>
      </w:r>
      <w:r w:rsidRPr="00B75F0D">
        <w:rPr>
          <w:rFonts w:ascii="font-size:16px;line-height:1.5;" w:eastAsia="微软雅黑" w:hAnsi="font-size:16px;line-height:1.5;" w:cs="宋体"/>
          <w:color w:val="333333"/>
          <w:kern w:val="0"/>
          <w:sz w:val="27"/>
          <w:szCs w:val="27"/>
        </w:rPr>
        <w:t>获得，在营养标签上两者均可标示为</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脂肪</w:t>
      </w:r>
      <w:r w:rsidRPr="00B75F0D">
        <w:rPr>
          <w:rFonts w:ascii="font-size:16px;line-height:1.5;" w:eastAsia="微软雅黑" w:hAnsi="font-size:16px;line-height:1.5;" w:cs="宋体"/>
          <w:color w:val="333333"/>
          <w:kern w:val="0"/>
          <w:sz w:val="27"/>
          <w:szCs w:val="27"/>
        </w:rPr>
        <w:t xml:space="preserve">”; </w:t>
      </w:r>
      <w:r w:rsidRPr="00B75F0D">
        <w:rPr>
          <w:rFonts w:ascii="font-size:16px;line-height:1.5;" w:eastAsia="微软雅黑" w:hAnsi="font-size:16px;line-height:1.5;" w:cs="宋体"/>
          <w:color w:val="333333"/>
          <w:kern w:val="0"/>
          <w:sz w:val="27"/>
          <w:szCs w:val="27"/>
        </w:rPr>
        <w:t>脂肪含量可通过索氏抽提法或罗高氏法等方法测定。测定结果结合</w:t>
      </w:r>
      <w:r w:rsidRPr="00B75F0D">
        <w:rPr>
          <w:rFonts w:ascii="font-size:16px;line-height:1.5;" w:eastAsia="微软雅黑" w:hAnsi="font-size:16px;line-height:1.5;" w:cs="宋体"/>
          <w:color w:val="333333"/>
          <w:kern w:val="0"/>
          <w:sz w:val="27"/>
          <w:szCs w:val="27"/>
        </w:rPr>
        <w:t>GB28050-2011“</w:t>
      </w:r>
      <w:r w:rsidRPr="00B75F0D">
        <w:rPr>
          <w:rFonts w:ascii="font-size:16px;line-height:1.5;" w:eastAsia="微软雅黑" w:hAnsi="font-size:16px;line-height:1.5;" w:cs="宋体"/>
          <w:color w:val="333333"/>
          <w:kern w:val="0"/>
          <w:sz w:val="27"/>
          <w:szCs w:val="27"/>
        </w:rPr>
        <w:t>食品中的脂肪含量允许误差范围</w:t>
      </w:r>
      <w:r w:rsidRPr="00B75F0D">
        <w:rPr>
          <w:rFonts w:ascii="font-size:16px;line-height:1.5;" w:eastAsia="微软雅黑" w:hAnsi="font-size:16px;line-height:1.5;" w:cs="宋体"/>
          <w:color w:val="333333"/>
          <w:kern w:val="0"/>
          <w:sz w:val="27"/>
          <w:szCs w:val="27"/>
        </w:rPr>
        <w:t>≤120%</w:t>
      </w:r>
      <w:r w:rsidRPr="00B75F0D">
        <w:rPr>
          <w:rFonts w:ascii="font-size:16px;line-height:1.5;" w:eastAsia="微软雅黑" w:hAnsi="font-size:16px;line-height:1.5;" w:cs="宋体"/>
          <w:color w:val="333333"/>
          <w:kern w:val="0"/>
          <w:sz w:val="27"/>
          <w:szCs w:val="27"/>
        </w:rPr>
        <w:t>标示值</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的规定综合判定。</w:t>
      </w:r>
    </w:p>
    <w:p w14:paraId="5F52432C"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 xml:space="preserve">(3) </w:t>
      </w:r>
      <w:r w:rsidRPr="00B75F0D">
        <w:rPr>
          <w:rFonts w:ascii="font-size:16px;line-height:1.5;" w:eastAsia="微软雅黑" w:hAnsi="font-size:16px;line-height:1.5;" w:cs="宋体"/>
          <w:color w:val="333333"/>
          <w:kern w:val="0"/>
          <w:sz w:val="27"/>
          <w:szCs w:val="27"/>
        </w:rPr>
        <w:t>碳水化合物含量计算。</w:t>
      </w:r>
      <w:r w:rsidRPr="00B75F0D">
        <w:rPr>
          <w:rFonts w:ascii="font-size:16px;line-height:1.5;" w:eastAsia="微软雅黑" w:hAnsi="font-size:16px;line-height:1.5;" w:cs="宋体"/>
          <w:color w:val="333333"/>
          <w:kern w:val="0"/>
          <w:sz w:val="27"/>
          <w:szCs w:val="27"/>
        </w:rPr>
        <w:t>GB28050-2011</w:t>
      </w:r>
      <w:r w:rsidRPr="00B75F0D">
        <w:rPr>
          <w:rFonts w:ascii="font-size:16px;line-height:1.5;" w:eastAsia="微软雅黑" w:hAnsi="font-size:16px;line-height:1.5;" w:cs="宋体"/>
          <w:color w:val="333333"/>
          <w:kern w:val="0"/>
          <w:sz w:val="27"/>
          <w:szCs w:val="27"/>
        </w:rPr>
        <w:t>问答指出，食品中碳水化合物的量可按减法或加法计算获得。减法计算时可分为</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可利用碳水化</w:t>
      </w:r>
      <w:r w:rsidRPr="00B75F0D">
        <w:rPr>
          <w:rFonts w:ascii="font-size:16px;line-height:1.5;" w:eastAsia="微软雅黑" w:hAnsi="font-size:16px;line-height:1.5;" w:cs="宋体"/>
          <w:color w:val="333333"/>
          <w:kern w:val="0"/>
          <w:sz w:val="27"/>
          <w:szCs w:val="27"/>
        </w:rPr>
        <w:lastRenderedPageBreak/>
        <w:t>合物</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和</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总碳水化合物</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两种，且上述两者均可以</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碳水化合物</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标示。加法是以淀粉和</w:t>
      </w:r>
      <w:proofErr w:type="gramStart"/>
      <w:r w:rsidRPr="00B75F0D">
        <w:rPr>
          <w:rFonts w:ascii="font-size:16px;line-height:1.5;" w:eastAsia="微软雅黑" w:hAnsi="font-size:16px;line-height:1.5;" w:cs="宋体"/>
          <w:color w:val="333333"/>
          <w:kern w:val="0"/>
          <w:sz w:val="27"/>
          <w:szCs w:val="27"/>
        </w:rPr>
        <w:t>糖的</w:t>
      </w:r>
      <w:proofErr w:type="gramEnd"/>
      <w:r w:rsidRPr="00B75F0D">
        <w:rPr>
          <w:rFonts w:ascii="font-size:16px;line-height:1.5;" w:eastAsia="微软雅黑" w:hAnsi="font-size:16px;line-height:1.5;" w:cs="宋体"/>
          <w:color w:val="333333"/>
          <w:kern w:val="0"/>
          <w:sz w:val="27"/>
          <w:szCs w:val="27"/>
        </w:rPr>
        <w:t>总和为</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碳水化合物</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。测定或计算结果结合</w:t>
      </w:r>
      <w:r w:rsidRPr="00B75F0D">
        <w:rPr>
          <w:rFonts w:ascii="font-size:16px;line-height:1.5;" w:eastAsia="微软雅黑" w:hAnsi="font-size:16px;line-height:1.5;" w:cs="宋体"/>
          <w:color w:val="333333"/>
          <w:kern w:val="0"/>
          <w:sz w:val="27"/>
          <w:szCs w:val="27"/>
        </w:rPr>
        <w:t>GB28050-2011“</w:t>
      </w:r>
      <w:r w:rsidRPr="00B75F0D">
        <w:rPr>
          <w:rFonts w:ascii="font-size:16px;line-height:1.5;" w:eastAsia="微软雅黑" w:hAnsi="font-size:16px;line-height:1.5;" w:cs="宋体"/>
          <w:color w:val="333333"/>
          <w:kern w:val="0"/>
          <w:sz w:val="27"/>
          <w:szCs w:val="27"/>
        </w:rPr>
        <w:t>食品中的水化合物允许误差范围</w:t>
      </w:r>
      <w:r w:rsidRPr="00B75F0D">
        <w:rPr>
          <w:rFonts w:ascii="font-size:16px;line-height:1.5;" w:eastAsia="微软雅黑" w:hAnsi="font-size:16px;line-height:1.5;" w:cs="宋体"/>
          <w:color w:val="333333"/>
          <w:kern w:val="0"/>
          <w:sz w:val="27"/>
          <w:szCs w:val="27"/>
        </w:rPr>
        <w:t>≥80%</w:t>
      </w:r>
      <w:r w:rsidRPr="00B75F0D">
        <w:rPr>
          <w:rFonts w:ascii="font-size:16px;line-height:1.5;" w:eastAsia="微软雅黑" w:hAnsi="font-size:16px;line-height:1.5;" w:cs="宋体"/>
          <w:color w:val="333333"/>
          <w:kern w:val="0"/>
          <w:sz w:val="27"/>
          <w:szCs w:val="27"/>
        </w:rPr>
        <w:t>标示值</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的规定综合判定。</w:t>
      </w:r>
    </w:p>
    <w:p w14:paraId="71E7E4B2"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4.</w:t>
      </w:r>
      <w:r w:rsidRPr="00B75F0D">
        <w:rPr>
          <w:rFonts w:ascii="font-size:16px;line-height:1.5;" w:eastAsia="微软雅黑" w:hAnsi="font-size:16px;line-height:1.5;" w:cs="宋体"/>
          <w:color w:val="333333"/>
          <w:kern w:val="0"/>
          <w:sz w:val="27"/>
          <w:szCs w:val="27"/>
        </w:rPr>
        <w:t>处理原则。</w:t>
      </w:r>
    </w:p>
    <w:p w14:paraId="683D6836"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(1)GB28050-2011</w:t>
      </w:r>
      <w:r w:rsidRPr="00B75F0D">
        <w:rPr>
          <w:rFonts w:ascii="font-size:16px;line-height:1.5;" w:eastAsia="微软雅黑" w:hAnsi="font-size:16px;line-height:1.5;" w:cs="宋体"/>
          <w:color w:val="333333"/>
          <w:kern w:val="0"/>
          <w:sz w:val="27"/>
          <w:szCs w:val="27"/>
        </w:rPr>
        <w:t>问答</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修订版</w:t>
      </w:r>
      <w:r w:rsidRPr="00B75F0D">
        <w:rPr>
          <w:rFonts w:ascii="font-size:16px;line-height:1.5;" w:eastAsia="微软雅黑" w:hAnsi="font-size:16px;line-height:1.5;" w:cs="宋体"/>
          <w:color w:val="333333"/>
          <w:kern w:val="0"/>
          <w:sz w:val="27"/>
          <w:szCs w:val="27"/>
        </w:rPr>
        <w:t>) </w:t>
      </w:r>
      <w:r w:rsidRPr="00B75F0D">
        <w:rPr>
          <w:rFonts w:ascii="font-size:16px;line-height:1.5;" w:eastAsia="微软雅黑" w:hAnsi="font-size:16px;line-height:1.5;" w:cs="宋体"/>
          <w:color w:val="333333"/>
          <w:kern w:val="0"/>
          <w:sz w:val="27"/>
          <w:szCs w:val="27"/>
        </w:rPr>
        <w:t>指出，判定营养标签标示数值的准确性时，应以企业确定标签数值的方法作为依据。获得营养成分含量的方法包括直接检测和间接计算两种</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对于采用计算法的，企业负责计算数值的准确性，必要时可用检测数据进行比较和评价。因此，此类案件中应当先向生产企业调查其获得涉案产品营养成分含量的方法，委托送检时按照企业获得营养成分含量的方法进行计量检测。</w:t>
      </w:r>
    </w:p>
    <w:p w14:paraId="16D3E105" w14:textId="77777777" w:rsidR="00B75F0D" w:rsidRPr="00B75F0D" w:rsidRDefault="00B75F0D" w:rsidP="00B75F0D">
      <w:pPr>
        <w:widowControl/>
        <w:shd w:val="clear" w:color="auto" w:fill="FFFFFF"/>
        <w:spacing w:before="100" w:beforeAutospacing="1" w:after="100" w:afterAutospacing="1"/>
        <w:ind w:firstLine="210"/>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(2) </w:t>
      </w:r>
      <w:r w:rsidRPr="00B75F0D">
        <w:rPr>
          <w:rFonts w:ascii="font-size:16px;line-height:1.5;" w:eastAsia="微软雅黑" w:hAnsi="font-size:16px;line-height:1.5;" w:cs="宋体"/>
          <w:color w:val="333333"/>
          <w:kern w:val="0"/>
          <w:sz w:val="27"/>
          <w:szCs w:val="27"/>
        </w:rPr>
        <w:t>由于食品营养成分的含量是不稳定的，会因季节、产地、运输条件不同而改变。因此，我们应当承认营养成分检测数值之间可能会存在偏差。为提高检测报告的证明力，建议在条件允许的情况下可对涉案产品批次及其他批次共计三个批次以上进行委托检验，减少因原料、产地等因素对个别批次产品营养成分数值造成的影响，有利于综合认定涉案产品是否符合规定。</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(3)GB28050-2011</w:t>
      </w:r>
      <w:r w:rsidRPr="00B75F0D">
        <w:rPr>
          <w:rFonts w:ascii="font-size:16px;line-height:1.5;" w:eastAsia="微软雅黑" w:hAnsi="font-size:16px;line-height:1.5;" w:cs="宋体"/>
          <w:color w:val="333333"/>
          <w:kern w:val="0"/>
          <w:sz w:val="27"/>
          <w:szCs w:val="27"/>
        </w:rPr>
        <w:t>问答</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修订版</w:t>
      </w:r>
      <w:r w:rsidRPr="00B75F0D">
        <w:rPr>
          <w:rFonts w:ascii="font-size:16px;line-height:1.5;" w:eastAsia="微软雅黑" w:hAnsi="font-size:16px;line-height:1.5;" w:cs="宋体"/>
          <w:color w:val="333333"/>
          <w:kern w:val="0"/>
          <w:sz w:val="27"/>
          <w:szCs w:val="27"/>
        </w:rPr>
        <w:t>)</w:t>
      </w:r>
      <w:r w:rsidRPr="00B75F0D">
        <w:rPr>
          <w:rFonts w:ascii="font-size:16px;line-height:1.5;" w:eastAsia="微软雅黑" w:hAnsi="font-size:16px;line-height:1.5;" w:cs="宋体"/>
          <w:color w:val="333333"/>
          <w:kern w:val="0"/>
          <w:sz w:val="27"/>
          <w:szCs w:val="27"/>
        </w:rPr>
        <w:t>指出，当检测数值与标签标示数值出现较大偏差时，企业应分析产生差异的原因，及时纠正偏差。此类案件中检测数值与标示数值出现较大偏差时，应先向生产企业调查了解产生差异的原因。数值偏差若非企业主观故意或重大过失造成，且在办案期</w:t>
      </w:r>
      <w:r w:rsidRPr="00B75F0D">
        <w:rPr>
          <w:rFonts w:ascii="font-size:16px;line-height:1.5;" w:eastAsia="微软雅黑" w:hAnsi="font-size:16px;line-height:1.5;" w:cs="宋体"/>
          <w:color w:val="333333"/>
          <w:kern w:val="0"/>
          <w:sz w:val="27"/>
          <w:szCs w:val="27"/>
        </w:rPr>
        <w:lastRenderedPageBreak/>
        <w:t>限内及时整改，则不宜认定标签标识违法。</w:t>
      </w:r>
      <w:r w:rsidRPr="00B75F0D">
        <w:rPr>
          <w:rFonts w:ascii="微软雅黑" w:eastAsia="微软雅黑" w:hAnsi="微软雅黑" w:cs="宋体" w:hint="eastAsia"/>
          <w:color w:val="333333"/>
          <w:kern w:val="0"/>
          <w:sz w:val="27"/>
          <w:szCs w:val="27"/>
        </w:rPr>
        <w:br/>
      </w:r>
      <w:r w:rsidRPr="00B75F0D">
        <w:rPr>
          <w:rFonts w:ascii="font-size:16px;line-height:1.5;" w:eastAsia="微软雅黑" w:hAnsi="font-size:16px;line-height:1.5;" w:cs="宋体"/>
          <w:color w:val="333333"/>
          <w:kern w:val="0"/>
          <w:sz w:val="27"/>
          <w:szCs w:val="27"/>
        </w:rPr>
        <w:t>                                       </w:t>
      </w:r>
    </w:p>
    <w:p w14:paraId="596C4AE4" w14:textId="77777777" w:rsidR="00B75F0D" w:rsidRPr="00B75F0D" w:rsidRDefault="00B75F0D" w:rsidP="00B75F0D">
      <w:pPr>
        <w:widowControl/>
        <w:shd w:val="clear" w:color="auto" w:fill="FFFFFF"/>
        <w:spacing w:before="100" w:beforeAutospacing="1" w:after="100" w:afterAutospacing="1"/>
        <w:jc w:val="left"/>
        <w:rPr>
          <w:rFonts w:ascii="微软雅黑" w:eastAsia="微软雅黑" w:hAnsi="微软雅黑" w:cs="宋体" w:hint="eastAsia"/>
          <w:color w:val="333333"/>
          <w:kern w:val="0"/>
          <w:sz w:val="27"/>
          <w:szCs w:val="27"/>
        </w:rPr>
      </w:pPr>
      <w:r w:rsidRPr="00B75F0D">
        <w:rPr>
          <w:rFonts w:ascii="font-size:16px;line-height:1.5;" w:eastAsia="微软雅黑" w:hAnsi="font-size:16px;line-height:1.5;" w:cs="宋体"/>
          <w:color w:val="333333"/>
          <w:kern w:val="0"/>
          <w:sz w:val="27"/>
          <w:szCs w:val="27"/>
        </w:rPr>
        <w:t>成都市食品药品监督管理局</w:t>
      </w:r>
    </w:p>
    <w:p w14:paraId="0C8966A8" w14:textId="77777777" w:rsidR="00F64D7A" w:rsidRPr="00B75F0D" w:rsidRDefault="00F64D7A"/>
    <w:sectPr w:rsidR="00F64D7A" w:rsidRPr="00B75F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3A55" w14:textId="77777777" w:rsidR="00F31F8C" w:rsidRDefault="00F31F8C" w:rsidP="00B75F0D">
      <w:r>
        <w:separator/>
      </w:r>
    </w:p>
  </w:endnote>
  <w:endnote w:type="continuationSeparator" w:id="0">
    <w:p w14:paraId="15A1AA98" w14:textId="77777777" w:rsidR="00F31F8C" w:rsidRDefault="00F31F8C" w:rsidP="00B7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font-size:16px;line-height:1.5;">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EF68" w14:textId="77777777" w:rsidR="00F31F8C" w:rsidRDefault="00F31F8C" w:rsidP="00B75F0D">
      <w:r>
        <w:separator/>
      </w:r>
    </w:p>
  </w:footnote>
  <w:footnote w:type="continuationSeparator" w:id="0">
    <w:p w14:paraId="23332646" w14:textId="77777777" w:rsidR="00F31F8C" w:rsidRDefault="00F31F8C" w:rsidP="00B75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37CCB"/>
    <w:rsid w:val="00337CCB"/>
    <w:rsid w:val="00B75F0D"/>
    <w:rsid w:val="00F31F8C"/>
    <w:rsid w:val="00F64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337EF37-C364-429D-830C-D72E3DD5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75F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F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5F0D"/>
    <w:rPr>
      <w:sz w:val="18"/>
      <w:szCs w:val="18"/>
    </w:rPr>
  </w:style>
  <w:style w:type="paragraph" w:styleId="a5">
    <w:name w:val="footer"/>
    <w:basedOn w:val="a"/>
    <w:link w:val="a6"/>
    <w:uiPriority w:val="99"/>
    <w:unhideWhenUsed/>
    <w:rsid w:val="00B75F0D"/>
    <w:pPr>
      <w:tabs>
        <w:tab w:val="center" w:pos="4153"/>
        <w:tab w:val="right" w:pos="8306"/>
      </w:tabs>
      <w:snapToGrid w:val="0"/>
      <w:jc w:val="left"/>
    </w:pPr>
    <w:rPr>
      <w:sz w:val="18"/>
      <w:szCs w:val="18"/>
    </w:rPr>
  </w:style>
  <w:style w:type="character" w:customStyle="1" w:styleId="a6">
    <w:name w:val="页脚 字符"/>
    <w:basedOn w:val="a0"/>
    <w:link w:val="a5"/>
    <w:uiPriority w:val="99"/>
    <w:rsid w:val="00B75F0D"/>
    <w:rPr>
      <w:sz w:val="18"/>
      <w:szCs w:val="18"/>
    </w:rPr>
  </w:style>
  <w:style w:type="character" w:customStyle="1" w:styleId="10">
    <w:name w:val="标题 1 字符"/>
    <w:basedOn w:val="a0"/>
    <w:link w:val="1"/>
    <w:uiPriority w:val="9"/>
    <w:rsid w:val="00B75F0D"/>
    <w:rPr>
      <w:rFonts w:ascii="宋体" w:eastAsia="宋体" w:hAnsi="宋体" w:cs="宋体"/>
      <w:b/>
      <w:bCs/>
      <w:kern w:val="36"/>
      <w:sz w:val="48"/>
      <w:szCs w:val="48"/>
    </w:rPr>
  </w:style>
  <w:style w:type="paragraph" w:customStyle="1" w:styleId="15">
    <w:name w:val="15"/>
    <w:basedOn w:val="a"/>
    <w:rsid w:val="00B75F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1239</Words>
  <Characters>7067</Characters>
  <Application>Microsoft Office Word</Application>
  <DocSecurity>0</DocSecurity>
  <Lines>58</Lines>
  <Paragraphs>16</Paragraphs>
  <ScaleCrop>false</ScaleCrop>
  <Company>微软中国</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洋聪 韦</dc:creator>
  <cp:keywords/>
  <dc:description/>
  <cp:lastModifiedBy>洋聪 韦</cp:lastModifiedBy>
  <cp:revision>3</cp:revision>
  <dcterms:created xsi:type="dcterms:W3CDTF">2022-01-26T06:29:00Z</dcterms:created>
  <dcterms:modified xsi:type="dcterms:W3CDTF">2022-01-26T06:29:00Z</dcterms:modified>
</cp:coreProperties>
</file>